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2"/>
        <w:tblW w:w="9322" w:type="dxa"/>
        <w:tblLook w:val="01E0" w:firstRow="1" w:lastRow="1" w:firstColumn="1" w:lastColumn="1" w:noHBand="0" w:noVBand="0"/>
      </w:tblPr>
      <w:tblGrid>
        <w:gridCol w:w="3652"/>
        <w:gridCol w:w="5670"/>
      </w:tblGrid>
      <w:tr w:rsidR="002912AA" w:rsidRPr="002912AA" w:rsidTr="00270A87">
        <w:trPr>
          <w:trHeight w:val="773"/>
        </w:trPr>
        <w:tc>
          <w:tcPr>
            <w:tcW w:w="3652" w:type="dxa"/>
            <w:shd w:val="clear" w:color="auto" w:fill="auto"/>
          </w:tcPr>
          <w:p w:rsidR="00974059" w:rsidRPr="002912AA" w:rsidRDefault="00974059" w:rsidP="00653C12">
            <w:pPr>
              <w:spacing w:before="120"/>
              <w:jc w:val="center"/>
              <w:rPr>
                <w:rFonts w:ascii="Times New Roman" w:hAnsi="Times New Roman"/>
                <w:color w:val="000000" w:themeColor="text1"/>
                <w:sz w:val="26"/>
              </w:rPr>
            </w:pPr>
            <w:r w:rsidRPr="002912AA">
              <w:rPr>
                <w:rFonts w:ascii="Times New Roman" w:hAnsi="Times New Roman"/>
                <w:color w:val="000000" w:themeColor="text1"/>
                <w:sz w:val="26"/>
              </w:rPr>
              <w:t>UBND TỈNH CAO BẰNG</w:t>
            </w:r>
          </w:p>
          <w:p w:rsidR="00974059" w:rsidRPr="002912AA" w:rsidRDefault="00974059" w:rsidP="00653C12">
            <w:pPr>
              <w:jc w:val="center"/>
              <w:rPr>
                <w:rFonts w:ascii="Times New Roman" w:hAnsi="Times New Roman"/>
                <w:b/>
                <w:color w:val="000000" w:themeColor="text1"/>
                <w:sz w:val="26"/>
              </w:rPr>
            </w:pPr>
            <w:r w:rsidRPr="002912AA">
              <w:rPr>
                <w:rFonts w:ascii="Times New Roman" w:hAnsi="Times New Roman"/>
                <w:b/>
                <w:color w:val="000000" w:themeColor="text1"/>
                <w:sz w:val="26"/>
              </w:rPr>
              <w:t xml:space="preserve">SỞ </w:t>
            </w:r>
            <w:r w:rsidR="003008A1" w:rsidRPr="002912AA">
              <w:rPr>
                <w:rFonts w:ascii="Times New Roman" w:hAnsi="Times New Roman"/>
                <w:b/>
                <w:color w:val="000000" w:themeColor="text1"/>
                <w:sz w:val="26"/>
              </w:rPr>
              <w:t>NỘI VỤ</w:t>
            </w:r>
          </w:p>
          <w:p w:rsidR="00974059" w:rsidRPr="002912AA" w:rsidRDefault="00974059" w:rsidP="004378AA">
            <w:pPr>
              <w:spacing w:before="160"/>
              <w:rPr>
                <w:rFonts w:ascii="Times New Roman" w:hAnsi="Times New Roman"/>
                <w:color w:val="000000" w:themeColor="text1"/>
                <w:sz w:val="26"/>
                <w:szCs w:val="26"/>
              </w:rPr>
            </w:pPr>
            <w:r w:rsidRPr="002912AA">
              <w:rPr>
                <w:rFonts w:ascii="Times New Roman" w:hAnsi="Times New Roman"/>
                <w:b/>
                <w:noProof/>
                <w:color w:val="000000" w:themeColor="text1"/>
                <w:sz w:val="26"/>
              </w:rPr>
              <mc:AlternateContent>
                <mc:Choice Requires="wps">
                  <w:drawing>
                    <wp:anchor distT="0" distB="0" distL="114300" distR="114300" simplePos="0" relativeHeight="251656192" behindDoc="0" locked="0" layoutInCell="1" allowOverlap="1" wp14:anchorId="345CBDBB" wp14:editId="64E77AFC">
                      <wp:simplePos x="0" y="0"/>
                      <wp:positionH relativeFrom="column">
                        <wp:posOffset>889635</wp:posOffset>
                      </wp:positionH>
                      <wp:positionV relativeFrom="paragraph">
                        <wp:posOffset>7405</wp:posOffset>
                      </wp:positionV>
                      <wp:extent cx="4000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68B33" id="_x0000_t32" coordsize="21600,21600" o:spt="32" o:oned="t" path="m,l21600,21600e" filled="f">
                      <v:path arrowok="t" fillok="f" o:connecttype="none"/>
                      <o:lock v:ext="edit" shapetype="t"/>
                    </v:shapetype>
                    <v:shape id="Straight Arrow Connector 6" o:spid="_x0000_s1026" type="#_x0000_t32" style="position:absolute;margin-left:70.05pt;margin-top:.6pt;width:3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9iJAIAAEk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"/>
                  </w:pict>
                </mc:Fallback>
              </mc:AlternateContent>
            </w:r>
          </w:p>
        </w:tc>
        <w:tc>
          <w:tcPr>
            <w:tcW w:w="5670" w:type="dxa"/>
            <w:shd w:val="clear" w:color="auto" w:fill="auto"/>
          </w:tcPr>
          <w:p w:rsidR="00974059" w:rsidRPr="002912AA" w:rsidRDefault="00974059" w:rsidP="00653C12">
            <w:pPr>
              <w:spacing w:before="120"/>
              <w:jc w:val="center"/>
              <w:rPr>
                <w:rFonts w:ascii="Times New Roman" w:hAnsi="Times New Roman"/>
                <w:b/>
                <w:color w:val="000000" w:themeColor="text1"/>
                <w:sz w:val="26"/>
              </w:rPr>
            </w:pPr>
            <w:r w:rsidRPr="002912AA">
              <w:rPr>
                <w:rFonts w:ascii="Times New Roman" w:hAnsi="Times New Roman"/>
                <w:b/>
                <w:color w:val="000000" w:themeColor="text1"/>
                <w:sz w:val="26"/>
              </w:rPr>
              <w:t>CỘNG HOÀ XÃ HỘI CHỦ NGHĨA VIỆT NAM</w:t>
            </w:r>
          </w:p>
          <w:p w:rsidR="00974059" w:rsidRPr="002912AA" w:rsidRDefault="00974059" w:rsidP="00653C12">
            <w:pPr>
              <w:jc w:val="center"/>
              <w:rPr>
                <w:rFonts w:ascii="Times New Roman" w:hAnsi="Times New Roman"/>
                <w:b/>
                <w:color w:val="000000" w:themeColor="text1"/>
              </w:rPr>
            </w:pPr>
            <w:r w:rsidRPr="002912AA">
              <w:rPr>
                <w:rFonts w:ascii="Times New Roman" w:hAnsi="Times New Roman" w:hint="eastAsia"/>
                <w:b/>
                <w:color w:val="000000" w:themeColor="text1"/>
              </w:rPr>
              <w:t>Đ</w:t>
            </w:r>
            <w:r w:rsidRPr="002912AA">
              <w:rPr>
                <w:rFonts w:ascii="Times New Roman" w:hAnsi="Times New Roman"/>
                <w:b/>
                <w:color w:val="000000" w:themeColor="text1"/>
              </w:rPr>
              <w:t>ộc lập - Tự do - Hạnh phúc</w:t>
            </w:r>
          </w:p>
          <w:p w:rsidR="00811B09" w:rsidRPr="002912AA" w:rsidRDefault="008C27D0" w:rsidP="003E4A49">
            <w:pPr>
              <w:spacing w:before="160"/>
              <w:jc w:val="center"/>
              <w:rPr>
                <w:rFonts w:ascii="Times New Roman" w:hAnsi="Times New Roman"/>
                <w:i/>
                <w:color w:val="000000" w:themeColor="text1"/>
                <w:lang w:val="vi-VN"/>
              </w:rPr>
            </w:pPr>
            <w:r w:rsidRPr="002912AA">
              <w:rPr>
                <w:rFonts w:ascii="Times New Roman" w:hAnsi="Times New Roman"/>
                <w:i/>
                <w:noProof/>
                <w:color w:val="000000" w:themeColor="text1"/>
              </w:rPr>
              <mc:AlternateContent>
                <mc:Choice Requires="wps">
                  <w:drawing>
                    <wp:anchor distT="0" distB="0" distL="114300" distR="114300" simplePos="0" relativeHeight="251658240" behindDoc="0" locked="0" layoutInCell="1" allowOverlap="1" wp14:anchorId="1F65FD66" wp14:editId="26B70274">
                      <wp:simplePos x="0" y="0"/>
                      <wp:positionH relativeFrom="column">
                        <wp:posOffset>647440</wp:posOffset>
                      </wp:positionH>
                      <wp:positionV relativeFrom="paragraph">
                        <wp:posOffset>12165</wp:posOffset>
                      </wp:positionV>
                      <wp:extent cx="2151380" cy="1"/>
                      <wp:effectExtent l="0" t="0" r="20320" b="19050"/>
                      <wp:wrapNone/>
                      <wp:docPr id="1" name="Straight Connector 1"/>
                      <wp:cNvGraphicFramePr/>
                      <a:graphic xmlns:a="http://schemas.openxmlformats.org/drawingml/2006/main">
                        <a:graphicData uri="http://schemas.microsoft.com/office/word/2010/wordprocessingShape">
                          <wps:wsp>
                            <wps:cNvCnPr/>
                            <wps:spPr>
                              <a:xfrm flipV="1">
                                <a:off x="0" y="0"/>
                                <a:ext cx="215138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DA231F" id="Straight Connector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pt,.95pt" to="22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" strokecolor="#4579b8 [3044]"/>
                  </w:pict>
                </mc:Fallback>
              </mc:AlternateContent>
            </w:r>
            <w:r w:rsidR="00F822E3" w:rsidRPr="002912AA">
              <w:rPr>
                <w:rFonts w:ascii="Times New Roman" w:hAnsi="Times New Roman"/>
                <w:i/>
                <w:color w:val="000000" w:themeColor="text1"/>
              </w:rPr>
              <w:t xml:space="preserve">Cao Bằng, ngày  </w:t>
            </w:r>
            <w:r w:rsidR="00045C18" w:rsidRPr="002912AA">
              <w:rPr>
                <w:rFonts w:ascii="Times New Roman" w:hAnsi="Times New Roman"/>
                <w:i/>
                <w:color w:val="000000" w:themeColor="text1"/>
              </w:rPr>
              <w:t xml:space="preserve"> </w:t>
            </w:r>
            <w:r w:rsidR="008655F9">
              <w:rPr>
                <w:rFonts w:ascii="Times New Roman" w:hAnsi="Times New Roman"/>
                <w:i/>
                <w:color w:val="000000" w:themeColor="text1"/>
              </w:rPr>
              <w:t xml:space="preserve">  </w:t>
            </w:r>
            <w:r w:rsidR="009C78F6" w:rsidRPr="002912AA">
              <w:rPr>
                <w:rFonts w:ascii="Times New Roman" w:hAnsi="Times New Roman"/>
                <w:i/>
                <w:color w:val="000000" w:themeColor="text1"/>
              </w:rPr>
              <w:t xml:space="preserve">  </w:t>
            </w:r>
            <w:r w:rsidR="00974059" w:rsidRPr="002912AA">
              <w:rPr>
                <w:rFonts w:ascii="Times New Roman" w:hAnsi="Times New Roman"/>
                <w:i/>
                <w:color w:val="000000" w:themeColor="text1"/>
              </w:rPr>
              <w:t xml:space="preserve">tháng </w:t>
            </w:r>
            <w:r w:rsidR="00801BB1" w:rsidRPr="002912AA">
              <w:rPr>
                <w:rFonts w:ascii="Times New Roman" w:hAnsi="Times New Roman"/>
                <w:i/>
                <w:color w:val="000000" w:themeColor="text1"/>
              </w:rPr>
              <w:t>1</w:t>
            </w:r>
            <w:r w:rsidR="002024A2">
              <w:rPr>
                <w:rFonts w:ascii="Times New Roman" w:hAnsi="Times New Roman"/>
                <w:i/>
                <w:color w:val="000000" w:themeColor="text1"/>
              </w:rPr>
              <w:t>1</w:t>
            </w:r>
            <w:r w:rsidR="0067018D" w:rsidRPr="002912AA">
              <w:rPr>
                <w:rFonts w:ascii="Times New Roman" w:hAnsi="Times New Roman"/>
                <w:i/>
                <w:color w:val="000000" w:themeColor="text1"/>
              </w:rPr>
              <w:t xml:space="preserve"> </w:t>
            </w:r>
            <w:r w:rsidR="00974059" w:rsidRPr="002912AA">
              <w:rPr>
                <w:rFonts w:ascii="Times New Roman" w:hAnsi="Times New Roman"/>
                <w:i/>
                <w:color w:val="000000" w:themeColor="text1"/>
              </w:rPr>
              <w:t>n</w:t>
            </w:r>
            <w:r w:rsidR="00974059" w:rsidRPr="002912AA">
              <w:rPr>
                <w:rFonts w:ascii="Times New Roman" w:hAnsi="Times New Roman" w:hint="eastAsia"/>
                <w:i/>
                <w:color w:val="000000" w:themeColor="text1"/>
              </w:rPr>
              <w:t>ă</w:t>
            </w:r>
            <w:r w:rsidR="00974059" w:rsidRPr="002912AA">
              <w:rPr>
                <w:rFonts w:ascii="Times New Roman" w:hAnsi="Times New Roman"/>
                <w:i/>
                <w:color w:val="000000" w:themeColor="text1"/>
              </w:rPr>
              <w:t>m 202</w:t>
            </w:r>
            <w:r w:rsidR="00045C18" w:rsidRPr="002912AA">
              <w:rPr>
                <w:rFonts w:ascii="Times New Roman" w:hAnsi="Times New Roman"/>
                <w:i/>
                <w:color w:val="000000" w:themeColor="text1"/>
              </w:rPr>
              <w:t>5</w:t>
            </w:r>
          </w:p>
          <w:p w:rsidR="00492B26" w:rsidRPr="002912AA" w:rsidRDefault="00492B26" w:rsidP="00B216A1">
            <w:pPr>
              <w:spacing w:before="160"/>
              <w:jc w:val="center"/>
              <w:rPr>
                <w:rFonts w:ascii="Times New Roman" w:hAnsi="Times New Roman"/>
                <w:i/>
                <w:color w:val="000000" w:themeColor="text1"/>
                <w:sz w:val="22"/>
                <w:szCs w:val="22"/>
                <w:lang w:val="vi-VN"/>
              </w:rPr>
            </w:pPr>
            <w:r w:rsidRPr="002912AA">
              <w:rPr>
                <w:rFonts w:ascii="Times New Roman" w:hAnsi="Times New Roman"/>
                <w:color w:val="000000" w:themeColor="text1"/>
              </w:rPr>
              <w:t xml:space="preserve">            </w:t>
            </w:r>
            <w:r w:rsidRPr="002912AA">
              <w:rPr>
                <w:rFonts w:ascii="Times New Roman" w:hAnsi="Times New Roman"/>
                <w:color w:val="000000" w:themeColor="text1"/>
                <w:lang w:val="vi-VN"/>
              </w:rPr>
              <w:t xml:space="preserve">                             </w:t>
            </w:r>
          </w:p>
        </w:tc>
      </w:tr>
    </w:tbl>
    <w:p w:rsidR="00974059" w:rsidRPr="002912AA" w:rsidRDefault="00B216A1" w:rsidP="00974059">
      <w:pPr>
        <w:jc w:val="center"/>
        <w:rPr>
          <w:rFonts w:ascii="Times New Roman" w:hAnsi="Times New Roman"/>
          <w:b/>
          <w:color w:val="000000" w:themeColor="text1"/>
        </w:rPr>
      </w:pPr>
      <w:r w:rsidRPr="002912AA">
        <w:rPr>
          <w:rFonts w:ascii="Times New Roman" w:hAnsi="Times New Roman"/>
          <w:b/>
          <w:color w:val="000000" w:themeColor="text1"/>
        </w:rPr>
        <w:t xml:space="preserve">BẢNG SO SÁNH, THUYẾT MINH DỰ THẢO VĂN BẢN QUY PHẠM PHÁP LUẬT SỬA ĐỔI, BỔ SUNG THAY THẾ </w:t>
      </w:r>
    </w:p>
    <w:p w:rsidR="003A41DB" w:rsidRDefault="003A41DB" w:rsidP="003A41DB">
      <w:pPr>
        <w:jc w:val="center"/>
        <w:rPr>
          <w:rFonts w:ascii="Times New Roman" w:hAnsi="Times New Roman"/>
          <w:i/>
          <w:color w:val="000000" w:themeColor="text1"/>
        </w:rPr>
      </w:pPr>
      <w:r w:rsidRPr="003A41DB">
        <w:rPr>
          <w:rFonts w:ascii="Times New Roman" w:hAnsi="Times New Roman"/>
          <w:i/>
          <w:color w:val="000000" w:themeColor="text1"/>
        </w:rPr>
        <w:t xml:space="preserve">(Kèm theo Tờ trình số      /SNV-NCC ngày    tháng  </w:t>
      </w:r>
      <w:r w:rsidR="00D4393C">
        <w:rPr>
          <w:rFonts w:ascii="Times New Roman" w:hAnsi="Times New Roman"/>
          <w:i/>
          <w:color w:val="000000" w:themeColor="text1"/>
        </w:rPr>
        <w:t xml:space="preserve"> </w:t>
      </w:r>
      <w:r w:rsidRPr="003A41DB">
        <w:rPr>
          <w:rFonts w:ascii="Times New Roman" w:hAnsi="Times New Roman"/>
          <w:i/>
          <w:color w:val="000000" w:themeColor="text1"/>
        </w:rPr>
        <w:t xml:space="preserve"> năm 2025 </w:t>
      </w:r>
    </w:p>
    <w:p w:rsidR="00B216A1" w:rsidRPr="003A41DB" w:rsidRDefault="003A41DB" w:rsidP="003A41DB">
      <w:pPr>
        <w:jc w:val="center"/>
        <w:rPr>
          <w:rFonts w:ascii="Times New Roman" w:hAnsi="Times New Roman"/>
          <w:i/>
          <w:color w:val="000000" w:themeColor="text1"/>
        </w:rPr>
      </w:pPr>
      <w:r w:rsidRPr="003A41DB">
        <w:rPr>
          <w:rFonts w:ascii="Times New Roman" w:hAnsi="Times New Roman"/>
          <w:i/>
          <w:color w:val="000000" w:themeColor="text1"/>
        </w:rPr>
        <w:t>của Sở Nội vụ tỉnh Cao Bằng)</w:t>
      </w:r>
    </w:p>
    <w:p w:rsidR="00B216A1" w:rsidRPr="002912AA" w:rsidRDefault="00B216A1" w:rsidP="00B216A1">
      <w:pPr>
        <w:jc w:val="both"/>
        <w:rPr>
          <w:rFonts w:ascii="Times New Roman" w:hAnsi="Times New Roman"/>
          <w:color w:val="000000" w:themeColor="text1"/>
        </w:rPr>
      </w:pPr>
    </w:p>
    <w:tbl>
      <w:tblPr>
        <w:tblStyle w:val="TableGrid"/>
        <w:tblW w:w="10414" w:type="dxa"/>
        <w:tblInd w:w="-885" w:type="dxa"/>
        <w:tblLook w:val="04A0" w:firstRow="1" w:lastRow="0" w:firstColumn="1" w:lastColumn="0" w:noHBand="0" w:noVBand="1"/>
      </w:tblPr>
      <w:tblGrid>
        <w:gridCol w:w="3378"/>
        <w:gridCol w:w="3518"/>
        <w:gridCol w:w="3518"/>
      </w:tblGrid>
      <w:tr w:rsidR="002912AA" w:rsidRPr="002912AA" w:rsidTr="006E508D">
        <w:trPr>
          <w:trHeight w:val="478"/>
        </w:trPr>
        <w:tc>
          <w:tcPr>
            <w:tcW w:w="3378" w:type="dxa"/>
            <w:vAlign w:val="center"/>
          </w:tcPr>
          <w:p w:rsidR="00877D6E" w:rsidRPr="002912AA" w:rsidRDefault="00877D6E" w:rsidP="00BB4167">
            <w:pPr>
              <w:jc w:val="center"/>
              <w:rPr>
                <w:rFonts w:ascii="Times New Roman" w:hAnsi="Times New Roman"/>
                <w:b/>
                <w:color w:val="000000" w:themeColor="text1"/>
                <w:sz w:val="24"/>
                <w:szCs w:val="24"/>
              </w:rPr>
            </w:pPr>
            <w:r w:rsidRPr="002912AA">
              <w:rPr>
                <w:rFonts w:ascii="Times New Roman" w:hAnsi="Times New Roman"/>
                <w:b/>
                <w:color w:val="000000" w:themeColor="text1"/>
                <w:sz w:val="24"/>
                <w:szCs w:val="24"/>
              </w:rPr>
              <w:t xml:space="preserve">QUYẾT ĐỊNH HIỆN HÀNH </w:t>
            </w:r>
          </w:p>
        </w:tc>
        <w:tc>
          <w:tcPr>
            <w:tcW w:w="3518" w:type="dxa"/>
          </w:tcPr>
          <w:p w:rsidR="00877D6E" w:rsidRPr="002912AA" w:rsidRDefault="00877D6E" w:rsidP="00BB4167">
            <w:pPr>
              <w:jc w:val="center"/>
              <w:rPr>
                <w:rFonts w:ascii="Times New Roman" w:hAnsi="Times New Roman"/>
                <w:b/>
                <w:color w:val="000000" w:themeColor="text1"/>
                <w:sz w:val="24"/>
                <w:szCs w:val="24"/>
              </w:rPr>
            </w:pPr>
            <w:r w:rsidRPr="002912AA">
              <w:rPr>
                <w:rFonts w:ascii="Times New Roman" w:hAnsi="Times New Roman"/>
                <w:b/>
                <w:color w:val="000000" w:themeColor="text1"/>
                <w:sz w:val="24"/>
                <w:szCs w:val="24"/>
              </w:rPr>
              <w:t>DỰ THẢO QUYẾT ĐỊNH THAY THẾ</w:t>
            </w:r>
          </w:p>
        </w:tc>
        <w:tc>
          <w:tcPr>
            <w:tcW w:w="3518" w:type="dxa"/>
            <w:vAlign w:val="center"/>
          </w:tcPr>
          <w:p w:rsidR="00877D6E" w:rsidRPr="002912AA" w:rsidRDefault="00877D6E" w:rsidP="00877D6E">
            <w:pPr>
              <w:jc w:val="center"/>
              <w:rPr>
                <w:rFonts w:ascii="Times New Roman" w:hAnsi="Times New Roman"/>
                <w:b/>
                <w:color w:val="000000" w:themeColor="text1"/>
                <w:sz w:val="24"/>
                <w:szCs w:val="24"/>
              </w:rPr>
            </w:pPr>
            <w:r w:rsidRPr="002912AA">
              <w:rPr>
                <w:rFonts w:ascii="Times New Roman" w:hAnsi="Times New Roman"/>
                <w:b/>
                <w:color w:val="000000" w:themeColor="text1"/>
                <w:sz w:val="24"/>
                <w:szCs w:val="24"/>
              </w:rPr>
              <w:t>THUYẾT MINH</w:t>
            </w:r>
          </w:p>
        </w:tc>
      </w:tr>
      <w:tr w:rsidR="002912AA" w:rsidRPr="002912AA" w:rsidTr="006E508D">
        <w:trPr>
          <w:trHeight w:val="478"/>
        </w:trPr>
        <w:tc>
          <w:tcPr>
            <w:tcW w:w="3378" w:type="dxa"/>
            <w:vAlign w:val="center"/>
          </w:tcPr>
          <w:p w:rsidR="004366E4" w:rsidRPr="002912AA" w:rsidRDefault="004366E4" w:rsidP="004366E4">
            <w:pPr>
              <w:spacing w:after="120"/>
              <w:jc w:val="both"/>
              <w:rPr>
                <w:rFonts w:ascii="Times New Roman" w:hAnsi="Times New Roman"/>
                <w:b/>
                <w:bCs/>
                <w:color w:val="000000" w:themeColor="text1"/>
              </w:rPr>
            </w:pPr>
            <w:r w:rsidRPr="002912AA">
              <w:rPr>
                <w:rFonts w:ascii="Times New Roman" w:hAnsi="Times New Roman"/>
                <w:b/>
                <w:bCs/>
                <w:color w:val="000000" w:themeColor="text1"/>
              </w:rPr>
              <w:t>Điều 1: Phạm vi điều chỉnh và đối tượng áp dụng</w:t>
            </w:r>
          </w:p>
          <w:p w:rsidR="00616220" w:rsidRPr="002912AA" w:rsidRDefault="004366E4" w:rsidP="004366E4">
            <w:pPr>
              <w:spacing w:after="120"/>
              <w:jc w:val="both"/>
              <w:rPr>
                <w:rFonts w:ascii="Times New Roman" w:hAnsi="Times New Roman"/>
                <w:bCs/>
                <w:color w:val="000000" w:themeColor="text1"/>
              </w:rPr>
            </w:pPr>
            <w:r w:rsidRPr="002912AA">
              <w:rPr>
                <w:rFonts w:ascii="Times New Roman" w:hAnsi="Times New Roman"/>
                <w:bCs/>
                <w:color w:val="000000" w:themeColor="text1"/>
              </w:rPr>
              <w:t>2.</w:t>
            </w:r>
            <w:r w:rsidRPr="002912AA">
              <w:rPr>
                <w:rFonts w:ascii="Times New Roman" w:hAnsi="Times New Roman"/>
                <w:b/>
                <w:bCs/>
                <w:color w:val="000000" w:themeColor="text1"/>
              </w:rPr>
              <w:t xml:space="preserve"> </w:t>
            </w:r>
            <w:r w:rsidRPr="002912AA">
              <w:rPr>
                <w:rFonts w:ascii="Times New Roman" w:hAnsi="Times New Roman"/>
                <w:bCs/>
                <w:color w:val="000000" w:themeColor="text1"/>
              </w:rPr>
              <w:t>Đối tượng áp dung: a) Các Sở, ban, ngành tỉnh, Ủy ban nhân dân các huyện, thành phố (gọi chung là cơ quan, đơn vị quản lý nhà nước) liên quan đến việc quản lý các công trình ghi công liệt sĩ, mộ liệt sĩ trên địa bàn tỉnh Cao Bằng.</w:t>
            </w:r>
          </w:p>
        </w:tc>
        <w:tc>
          <w:tcPr>
            <w:tcW w:w="3518" w:type="dxa"/>
          </w:tcPr>
          <w:p w:rsidR="004366E4" w:rsidRPr="002912AA" w:rsidRDefault="004366E4" w:rsidP="004366E4">
            <w:pPr>
              <w:spacing w:after="120"/>
              <w:jc w:val="both"/>
              <w:rPr>
                <w:rFonts w:ascii="Times New Roman" w:hAnsi="Times New Roman"/>
                <w:b/>
                <w:bCs/>
                <w:color w:val="000000" w:themeColor="text1"/>
              </w:rPr>
            </w:pPr>
            <w:r w:rsidRPr="002912AA">
              <w:rPr>
                <w:rFonts w:ascii="Times New Roman" w:hAnsi="Times New Roman"/>
                <w:b/>
                <w:bCs/>
                <w:color w:val="000000" w:themeColor="text1"/>
              </w:rPr>
              <w:t>Điều 1: Phạm vi điều chỉnh và đối tượng áp dụng</w:t>
            </w:r>
          </w:p>
          <w:p w:rsidR="006E508D" w:rsidRDefault="006E508D" w:rsidP="004366E4">
            <w:pPr>
              <w:spacing w:after="120"/>
              <w:jc w:val="both"/>
              <w:rPr>
                <w:rFonts w:ascii="Times New Roman" w:hAnsi="Times New Roman"/>
                <w:bCs/>
                <w:color w:val="000000" w:themeColor="text1"/>
              </w:rPr>
            </w:pPr>
          </w:p>
          <w:p w:rsidR="004366E4" w:rsidRPr="002912AA" w:rsidRDefault="004366E4" w:rsidP="004366E4">
            <w:pPr>
              <w:spacing w:after="120"/>
              <w:jc w:val="both"/>
              <w:rPr>
                <w:rFonts w:ascii="Times New Roman" w:hAnsi="Times New Roman"/>
                <w:bCs/>
                <w:color w:val="000000" w:themeColor="text1"/>
              </w:rPr>
            </w:pPr>
            <w:r w:rsidRPr="002912AA">
              <w:rPr>
                <w:rFonts w:ascii="Times New Roman" w:hAnsi="Times New Roman"/>
                <w:bCs/>
                <w:color w:val="000000" w:themeColor="text1"/>
              </w:rPr>
              <w:t>2.</w:t>
            </w:r>
            <w:r w:rsidRPr="002912AA">
              <w:rPr>
                <w:rFonts w:ascii="Times New Roman" w:hAnsi="Times New Roman"/>
                <w:b/>
                <w:bCs/>
                <w:color w:val="000000" w:themeColor="text1"/>
              </w:rPr>
              <w:t xml:space="preserve"> </w:t>
            </w:r>
            <w:r w:rsidRPr="002912AA">
              <w:rPr>
                <w:rFonts w:ascii="Times New Roman" w:hAnsi="Times New Roman"/>
                <w:bCs/>
                <w:color w:val="000000" w:themeColor="text1"/>
              </w:rPr>
              <w:t>Đối tượng áp dung: a) Các Sở, ban, ngành tỉnh, Ủy ban nhân dân các xã, phường (gọi chung là cơ quan, đơn vị quản lý nhà nước) liên quan đến việc quản lý các công trình ghi công liệt sĩ, mộ liệt sĩ trên địa bàn tỉnh Cao Bằng.</w:t>
            </w:r>
          </w:p>
          <w:p w:rsidR="00616220" w:rsidRPr="002912AA" w:rsidRDefault="00616220" w:rsidP="00BB4167">
            <w:pPr>
              <w:jc w:val="center"/>
              <w:rPr>
                <w:rFonts w:ascii="Times New Roman" w:hAnsi="Times New Roman"/>
                <w:b/>
                <w:color w:val="000000" w:themeColor="text1"/>
                <w:sz w:val="24"/>
                <w:szCs w:val="24"/>
              </w:rPr>
            </w:pPr>
          </w:p>
        </w:tc>
        <w:tc>
          <w:tcPr>
            <w:tcW w:w="3518" w:type="dxa"/>
            <w:vAlign w:val="center"/>
          </w:tcPr>
          <w:p w:rsidR="004366E4" w:rsidRPr="002912AA" w:rsidRDefault="004366E4" w:rsidP="004366E4">
            <w:pPr>
              <w:widowControl w:val="0"/>
              <w:spacing w:before="120" w:line="288" w:lineRule="auto"/>
              <w:ind w:right="77"/>
              <w:jc w:val="both"/>
              <w:rPr>
                <w:rFonts w:ascii="Times New Roman" w:hAnsi="Times New Roman"/>
                <w:bCs/>
                <w:color w:val="000000" w:themeColor="text1"/>
              </w:rPr>
            </w:pPr>
            <w:r w:rsidRPr="002912AA">
              <w:rPr>
                <w:rFonts w:ascii="Times New Roman" w:hAnsi="Times New Roman"/>
                <w:bCs/>
                <w:color w:val="000000" w:themeColor="text1"/>
              </w:rPr>
              <w:t xml:space="preserve">Nội dung này được kế thừa và sửa đổi, bổ sung thay thế: </w:t>
            </w:r>
          </w:p>
          <w:p w:rsidR="004366E4" w:rsidRPr="002912AA" w:rsidRDefault="004366E4" w:rsidP="004366E4">
            <w:pPr>
              <w:widowControl w:val="0"/>
              <w:spacing w:before="120" w:line="288" w:lineRule="auto"/>
              <w:ind w:right="77"/>
              <w:jc w:val="both"/>
              <w:rPr>
                <w:rFonts w:ascii="Times New Roman" w:hAnsi="Times New Roman"/>
                <w:bCs/>
                <w:color w:val="000000" w:themeColor="text1"/>
              </w:rPr>
            </w:pPr>
            <w:r w:rsidRPr="002912AA">
              <w:rPr>
                <w:rFonts w:ascii="Times New Roman" w:hAnsi="Times New Roman"/>
                <w:color w:val="000000" w:themeColor="text1"/>
                <w:lang w:val="vi-VN"/>
              </w:rPr>
              <w:t xml:space="preserve">Căn cứ Luật Tổ chức chính quyền địa phương </w:t>
            </w:r>
            <w:r w:rsidRPr="002912AA">
              <w:rPr>
                <w:rFonts w:ascii="Times New Roman" w:hAnsi="Times New Roman"/>
                <w:color w:val="000000" w:themeColor="text1"/>
              </w:rPr>
              <w:t>số 72/2025/QH15</w:t>
            </w:r>
            <w:r w:rsidRPr="002912AA">
              <w:rPr>
                <w:rFonts w:ascii="Times New Roman" w:hAnsi="Times New Roman"/>
                <w:color w:val="000000" w:themeColor="text1"/>
                <w:lang w:val="vi-VN"/>
              </w:rPr>
              <w:t>;</w:t>
            </w:r>
            <w:r w:rsidRPr="002912AA">
              <w:rPr>
                <w:rFonts w:ascii="Times New Roman" w:hAnsi="Times New Roman"/>
                <w:iCs/>
                <w:color w:val="000000" w:themeColor="text1"/>
              </w:rPr>
              <w:t xml:space="preserve"> Luật Ban hành văn bản quy phạm pháp luật số 64/2025/QH15 được sửa đổi, bổ sung bởi Luật số 87</w:t>
            </w:r>
            <w:bookmarkStart w:id="0" w:name="_GoBack"/>
            <w:bookmarkEnd w:id="0"/>
            <w:r w:rsidRPr="002912AA">
              <w:rPr>
                <w:rFonts w:ascii="Times New Roman" w:hAnsi="Times New Roman"/>
                <w:iCs/>
                <w:color w:val="000000" w:themeColor="text1"/>
              </w:rPr>
              <w:t>/2025/QH15.</w:t>
            </w:r>
            <w:r w:rsidRPr="002912AA">
              <w:rPr>
                <w:rFonts w:ascii="Times New Roman" w:hAnsi="Times New Roman"/>
                <w:bCs/>
                <w:color w:val="000000" w:themeColor="text1"/>
              </w:rPr>
              <w:t xml:space="preserve"> </w:t>
            </w:r>
          </w:p>
          <w:p w:rsidR="00616220" w:rsidRPr="002912AA" w:rsidRDefault="00616220" w:rsidP="00877D6E">
            <w:pPr>
              <w:jc w:val="center"/>
              <w:rPr>
                <w:rFonts w:ascii="Times New Roman" w:hAnsi="Times New Roman"/>
                <w:b/>
                <w:color w:val="000000" w:themeColor="text1"/>
                <w:sz w:val="24"/>
                <w:szCs w:val="24"/>
              </w:rPr>
            </w:pPr>
          </w:p>
        </w:tc>
      </w:tr>
      <w:tr w:rsidR="002912AA" w:rsidRPr="002912AA" w:rsidTr="006E508D">
        <w:trPr>
          <w:trHeight w:val="258"/>
        </w:trPr>
        <w:tc>
          <w:tcPr>
            <w:tcW w:w="3378" w:type="dxa"/>
          </w:tcPr>
          <w:p w:rsidR="00616220" w:rsidRPr="002912AA" w:rsidRDefault="00616220" w:rsidP="00616220">
            <w:pPr>
              <w:spacing w:after="120"/>
              <w:ind w:firstLine="34"/>
              <w:jc w:val="both"/>
              <w:rPr>
                <w:rFonts w:ascii="Times New Roman" w:hAnsi="Times New Roman"/>
                <w:bCs/>
                <w:color w:val="000000" w:themeColor="text1"/>
              </w:rPr>
            </w:pPr>
            <w:r w:rsidRPr="002912AA">
              <w:rPr>
                <w:rFonts w:ascii="Times New Roman" w:hAnsi="Times New Roman"/>
                <w:b/>
                <w:bCs/>
                <w:color w:val="000000" w:themeColor="text1"/>
              </w:rPr>
              <w:t>Điều 4.</w:t>
            </w:r>
            <w:r w:rsidRPr="002912AA">
              <w:rPr>
                <w:rFonts w:ascii="Times New Roman" w:hAnsi="Times New Roman"/>
                <w:bCs/>
                <w:color w:val="000000" w:themeColor="text1"/>
              </w:rPr>
              <w:t xml:space="preserve"> Quản lý công trình ghi công liệt sĩ, mộ liệt sĩ</w:t>
            </w:r>
          </w:p>
          <w:p w:rsidR="00877D6E" w:rsidRPr="002912AA" w:rsidRDefault="00877D6E" w:rsidP="00877D6E">
            <w:pPr>
              <w:spacing w:after="120"/>
              <w:ind w:firstLine="34"/>
              <w:jc w:val="both"/>
              <w:rPr>
                <w:rFonts w:ascii="Times New Roman" w:hAnsi="Times New Roman"/>
                <w:bCs/>
                <w:color w:val="000000" w:themeColor="text1"/>
              </w:rPr>
            </w:pPr>
            <w:r w:rsidRPr="002912AA">
              <w:rPr>
                <w:rFonts w:ascii="Times New Roman" w:hAnsi="Times New Roman"/>
                <w:bCs/>
                <w:color w:val="000000" w:themeColor="text1"/>
              </w:rPr>
              <w:t>1. Sở Lao động – Thương binh và Xã hội giúp Ủy ban nhân dân tỉnh quản lý nhà nước về công trình ghi công liệt sĩ trên địa bàn tỉnh Cao Bằng và có trách nhiệm quản lý Đài tưởng niệm các Anh hùng liệt sĩ tỉnh; Nghĩa trang liệt sĩ, mộ liệt sĩ người Trung Quốc.</w:t>
            </w:r>
          </w:p>
          <w:p w:rsidR="00877D6E" w:rsidRPr="002912AA" w:rsidRDefault="00877D6E" w:rsidP="006702FF">
            <w:pPr>
              <w:spacing w:after="120"/>
              <w:ind w:firstLine="38"/>
              <w:jc w:val="both"/>
              <w:rPr>
                <w:rFonts w:ascii="Times New Roman" w:hAnsi="Times New Roman"/>
                <w:b/>
                <w:bCs/>
                <w:i/>
                <w:color w:val="000000" w:themeColor="text1"/>
              </w:rPr>
            </w:pPr>
            <w:r w:rsidRPr="002912AA">
              <w:rPr>
                <w:rFonts w:ascii="Times New Roman" w:hAnsi="Times New Roman"/>
                <w:bCs/>
                <w:color w:val="000000" w:themeColor="text1"/>
              </w:rPr>
              <w:t xml:space="preserve">2. Các công trình ghi công liệt sĩ và mộ liệt sĩ trên địa bàn các </w:t>
            </w:r>
            <w:r w:rsidR="00B77A4E" w:rsidRPr="002912AA">
              <w:rPr>
                <w:rFonts w:ascii="Times New Roman" w:hAnsi="Times New Roman"/>
                <w:bCs/>
                <w:color w:val="000000" w:themeColor="text1"/>
              </w:rPr>
              <w:t>huyện, thành phố</w:t>
            </w:r>
            <w:r w:rsidR="00A27943" w:rsidRPr="002912AA">
              <w:rPr>
                <w:rFonts w:ascii="Times New Roman" w:hAnsi="Times New Roman"/>
                <w:bCs/>
                <w:color w:val="000000" w:themeColor="text1"/>
              </w:rPr>
              <w:t xml:space="preserve"> (gọi chung là cấp huyện</w:t>
            </w:r>
            <w:r w:rsidRPr="002912AA">
              <w:rPr>
                <w:rFonts w:ascii="Times New Roman" w:hAnsi="Times New Roman"/>
                <w:bCs/>
                <w:color w:val="000000" w:themeColor="text1"/>
              </w:rPr>
              <w:t xml:space="preserve">) do Ủy ban nhân dân cấp </w:t>
            </w:r>
            <w:r w:rsidR="00A27943" w:rsidRPr="002912AA">
              <w:rPr>
                <w:rFonts w:ascii="Times New Roman" w:hAnsi="Times New Roman"/>
                <w:bCs/>
                <w:color w:val="000000" w:themeColor="text1"/>
              </w:rPr>
              <w:t>huyện</w:t>
            </w:r>
            <w:r w:rsidRPr="002912AA">
              <w:rPr>
                <w:rFonts w:ascii="Times New Roman" w:hAnsi="Times New Roman"/>
                <w:bCs/>
                <w:color w:val="000000" w:themeColor="text1"/>
              </w:rPr>
              <w:t xml:space="preserve"> trực tiếp quản lý. Phòng </w:t>
            </w:r>
            <w:r w:rsidR="00A27943" w:rsidRPr="002912AA">
              <w:rPr>
                <w:rFonts w:ascii="Times New Roman" w:hAnsi="Times New Roman"/>
                <w:bCs/>
                <w:color w:val="000000" w:themeColor="text1"/>
              </w:rPr>
              <w:lastRenderedPageBreak/>
              <w:t xml:space="preserve">Lao động – Thương binh và Xã hội </w:t>
            </w:r>
            <w:r w:rsidRPr="002912AA">
              <w:rPr>
                <w:rFonts w:ascii="Times New Roman" w:hAnsi="Times New Roman"/>
                <w:bCs/>
                <w:color w:val="000000" w:themeColor="text1"/>
              </w:rPr>
              <w:t xml:space="preserve">cùng cấp có trách nhiệm giúp Ủy ban nhân dân cấp </w:t>
            </w:r>
            <w:r w:rsidR="00A27943" w:rsidRPr="002912AA">
              <w:rPr>
                <w:rFonts w:ascii="Times New Roman" w:hAnsi="Times New Roman"/>
                <w:bCs/>
                <w:color w:val="000000" w:themeColor="text1"/>
              </w:rPr>
              <w:t>huyện</w:t>
            </w:r>
            <w:r w:rsidRPr="002912AA">
              <w:rPr>
                <w:rFonts w:ascii="Times New Roman" w:hAnsi="Times New Roman"/>
                <w:bCs/>
                <w:color w:val="000000" w:themeColor="text1"/>
              </w:rPr>
              <w:t xml:space="preserve"> thực hiện công tác quản lý trên địa bàn</w:t>
            </w:r>
            <w:r w:rsidR="00A27943" w:rsidRPr="002912AA">
              <w:rPr>
                <w:rFonts w:ascii="Times New Roman" w:hAnsi="Times New Roman"/>
                <w:bCs/>
                <w:color w:val="000000" w:themeColor="text1"/>
              </w:rPr>
              <w:t xml:space="preserve"> huyện</w:t>
            </w:r>
            <w:r w:rsidRPr="002912AA">
              <w:rPr>
                <w:rFonts w:ascii="Times New Roman" w:hAnsi="Times New Roman"/>
                <w:bCs/>
                <w:color w:val="000000" w:themeColor="text1"/>
              </w:rPr>
              <w:t>.</w:t>
            </w:r>
          </w:p>
        </w:tc>
        <w:tc>
          <w:tcPr>
            <w:tcW w:w="3518" w:type="dxa"/>
          </w:tcPr>
          <w:p w:rsidR="00877D6E" w:rsidRPr="002912AA" w:rsidRDefault="00877D6E" w:rsidP="006702FF">
            <w:pPr>
              <w:spacing w:after="120"/>
              <w:ind w:firstLine="30"/>
              <w:jc w:val="both"/>
              <w:rPr>
                <w:rFonts w:ascii="Times New Roman" w:hAnsi="Times New Roman"/>
                <w:bCs/>
                <w:color w:val="000000" w:themeColor="text1"/>
              </w:rPr>
            </w:pPr>
            <w:r w:rsidRPr="002912AA">
              <w:rPr>
                <w:rFonts w:ascii="Times New Roman" w:hAnsi="Times New Roman"/>
                <w:b/>
                <w:bCs/>
                <w:color w:val="000000" w:themeColor="text1"/>
              </w:rPr>
              <w:lastRenderedPageBreak/>
              <w:t>Điều 4.</w:t>
            </w:r>
            <w:r w:rsidRPr="002912AA">
              <w:rPr>
                <w:rFonts w:ascii="Times New Roman" w:hAnsi="Times New Roman"/>
                <w:bCs/>
                <w:color w:val="000000" w:themeColor="text1"/>
              </w:rPr>
              <w:t xml:space="preserve"> Quản lý công trình ghi công liệt sĩ, mộ liệt sĩ</w:t>
            </w:r>
          </w:p>
          <w:p w:rsidR="00877D6E" w:rsidRPr="002912AA" w:rsidRDefault="00877D6E" w:rsidP="00877D6E">
            <w:pPr>
              <w:spacing w:after="120"/>
              <w:ind w:firstLine="172"/>
              <w:jc w:val="both"/>
              <w:rPr>
                <w:rFonts w:ascii="Times New Roman" w:hAnsi="Times New Roman"/>
                <w:bCs/>
                <w:color w:val="000000" w:themeColor="text1"/>
              </w:rPr>
            </w:pPr>
            <w:r w:rsidRPr="002912AA">
              <w:rPr>
                <w:rFonts w:ascii="Times New Roman" w:hAnsi="Times New Roman"/>
                <w:bCs/>
                <w:color w:val="000000" w:themeColor="text1"/>
              </w:rPr>
              <w:t>1. Sở Nội vụ giúp Ủy ban nhân dân tỉnh quản lý nhà nước về công trình ghi công liệt sĩ trên địa bàn tỉnh Cao Bằng và có trách nhiệm quản lý Đài tưởng niệm các Anh hùng liệt sĩ tỉnh; Nghĩa trang liệt sĩ, mộ liệt sĩ người Trung Quốc.</w:t>
            </w:r>
          </w:p>
          <w:p w:rsidR="00616220" w:rsidRPr="002912AA" w:rsidRDefault="00616220" w:rsidP="006702FF">
            <w:pPr>
              <w:spacing w:after="120"/>
              <w:ind w:firstLine="35"/>
              <w:jc w:val="both"/>
              <w:rPr>
                <w:rFonts w:ascii="Times New Roman" w:hAnsi="Times New Roman"/>
                <w:bCs/>
                <w:color w:val="000000" w:themeColor="text1"/>
              </w:rPr>
            </w:pPr>
          </w:p>
          <w:p w:rsidR="00877D6E" w:rsidRPr="002912AA" w:rsidRDefault="00877D6E" w:rsidP="006702FF">
            <w:pPr>
              <w:spacing w:after="120"/>
              <w:ind w:firstLine="35"/>
              <w:jc w:val="both"/>
              <w:rPr>
                <w:rFonts w:ascii="Times New Roman" w:hAnsi="Times New Roman"/>
                <w:b/>
                <w:bCs/>
                <w:i/>
                <w:color w:val="000000" w:themeColor="text1"/>
              </w:rPr>
            </w:pPr>
            <w:r w:rsidRPr="002912AA">
              <w:rPr>
                <w:rFonts w:ascii="Times New Roman" w:hAnsi="Times New Roman"/>
                <w:bCs/>
                <w:color w:val="000000" w:themeColor="text1"/>
              </w:rPr>
              <w:t xml:space="preserve">2. Các công trình ghi công liệt sĩ và mộ liệt sĩ trên địa bàn các xã, phường (gọi chung là cấp xã) do Ủy ban nhân dân cấp xã trực tiếp </w:t>
            </w:r>
            <w:r w:rsidRPr="002912AA">
              <w:rPr>
                <w:rFonts w:ascii="Times New Roman" w:hAnsi="Times New Roman"/>
                <w:bCs/>
                <w:color w:val="000000" w:themeColor="text1"/>
              </w:rPr>
              <w:lastRenderedPageBreak/>
              <w:t>quản lý. Phòng Văn hoá -xã hội cùng cấp có trách nhiệm giúp Ủy ban nhân dân cấp xã thực hiện công tác quản lý trên địa bàn xã.</w:t>
            </w:r>
          </w:p>
          <w:p w:rsidR="00877D6E" w:rsidRPr="002912AA" w:rsidRDefault="00877D6E" w:rsidP="00877D6E">
            <w:pPr>
              <w:widowControl w:val="0"/>
              <w:spacing w:before="120" w:line="288" w:lineRule="auto"/>
              <w:jc w:val="both"/>
              <w:rPr>
                <w:rFonts w:ascii="Times New Roman" w:hAnsi="Times New Roman"/>
                <w:bCs/>
                <w:color w:val="000000" w:themeColor="text1"/>
              </w:rPr>
            </w:pPr>
          </w:p>
        </w:tc>
        <w:tc>
          <w:tcPr>
            <w:tcW w:w="3518" w:type="dxa"/>
          </w:tcPr>
          <w:p w:rsidR="004378AA" w:rsidRPr="002912AA" w:rsidRDefault="004378AA" w:rsidP="00877D6E">
            <w:pPr>
              <w:widowControl w:val="0"/>
              <w:spacing w:before="120" w:line="288" w:lineRule="auto"/>
              <w:ind w:right="77"/>
              <w:jc w:val="both"/>
              <w:rPr>
                <w:rFonts w:ascii="Times New Roman" w:hAnsi="Times New Roman"/>
                <w:bCs/>
                <w:color w:val="000000" w:themeColor="text1"/>
              </w:rPr>
            </w:pPr>
            <w:bookmarkStart w:id="1" w:name="dieu_5"/>
            <w:r w:rsidRPr="002912AA">
              <w:rPr>
                <w:rFonts w:ascii="Times New Roman" w:hAnsi="Times New Roman"/>
                <w:color w:val="000000" w:themeColor="text1"/>
                <w:lang w:val="vi-VN"/>
              </w:rPr>
              <w:lastRenderedPageBreak/>
              <w:t xml:space="preserve">Căn cứ Luật Tổ chức chính quyền địa phương </w:t>
            </w:r>
            <w:r w:rsidRPr="002912AA">
              <w:rPr>
                <w:rFonts w:ascii="Times New Roman" w:hAnsi="Times New Roman"/>
                <w:color w:val="000000" w:themeColor="text1"/>
              </w:rPr>
              <w:t>số 72/2025/QH15</w:t>
            </w:r>
            <w:r w:rsidRPr="002912AA">
              <w:rPr>
                <w:rFonts w:ascii="Times New Roman" w:hAnsi="Times New Roman"/>
                <w:color w:val="000000" w:themeColor="text1"/>
                <w:lang w:val="vi-VN"/>
              </w:rPr>
              <w:t>;</w:t>
            </w:r>
            <w:r w:rsidRPr="002912AA">
              <w:rPr>
                <w:rFonts w:ascii="Times New Roman" w:hAnsi="Times New Roman"/>
                <w:iCs/>
                <w:color w:val="000000" w:themeColor="text1"/>
              </w:rPr>
              <w:t xml:space="preserve"> Luật Ban hành văn bản quy phạm pháp luật số 64/2025/QH15 được sửa đổi, bổ sung bởi Luật số 87/2025/QH15.</w:t>
            </w:r>
            <w:r w:rsidR="00A27943" w:rsidRPr="002912AA">
              <w:rPr>
                <w:rFonts w:ascii="Times New Roman" w:hAnsi="Times New Roman"/>
                <w:bCs/>
                <w:color w:val="000000" w:themeColor="text1"/>
              </w:rPr>
              <w:t xml:space="preserve"> </w:t>
            </w:r>
          </w:p>
          <w:p w:rsidR="0006273B" w:rsidRDefault="0006273B" w:rsidP="00877D6E">
            <w:pPr>
              <w:widowControl w:val="0"/>
              <w:spacing w:before="120" w:line="288" w:lineRule="auto"/>
              <w:ind w:right="77"/>
              <w:jc w:val="both"/>
              <w:rPr>
                <w:rFonts w:ascii="Times New Roman" w:hAnsi="Times New Roman"/>
                <w:bCs/>
                <w:color w:val="000000" w:themeColor="text1"/>
              </w:rPr>
            </w:pPr>
          </w:p>
          <w:p w:rsidR="003127A5" w:rsidRDefault="003127A5" w:rsidP="003127A5">
            <w:pPr>
              <w:widowControl w:val="0"/>
              <w:spacing w:before="360" w:line="288" w:lineRule="auto"/>
              <w:ind w:right="79"/>
              <w:jc w:val="both"/>
              <w:rPr>
                <w:rFonts w:ascii="Times New Roman" w:hAnsi="Times New Roman"/>
                <w:bCs/>
                <w:color w:val="000000" w:themeColor="text1"/>
              </w:rPr>
            </w:pPr>
          </w:p>
          <w:p w:rsidR="00877D6E" w:rsidRPr="002912AA" w:rsidRDefault="004378AA" w:rsidP="003127A5">
            <w:pPr>
              <w:widowControl w:val="0"/>
              <w:spacing w:before="360" w:line="288" w:lineRule="auto"/>
              <w:ind w:right="79"/>
              <w:jc w:val="both"/>
              <w:rPr>
                <w:rFonts w:ascii="Times New Roman" w:hAnsi="Times New Roman"/>
                <w:iCs/>
                <w:color w:val="000000" w:themeColor="text1"/>
                <w:shd w:val="clear" w:color="auto" w:fill="FFFFFF"/>
              </w:rPr>
            </w:pPr>
            <w:r w:rsidRPr="002912AA">
              <w:rPr>
                <w:rFonts w:ascii="Times New Roman" w:hAnsi="Times New Roman"/>
                <w:bCs/>
                <w:color w:val="000000" w:themeColor="text1"/>
              </w:rPr>
              <w:t>C</w:t>
            </w:r>
            <w:r w:rsidR="00A27943" w:rsidRPr="002912AA">
              <w:rPr>
                <w:rFonts w:ascii="Times New Roman" w:hAnsi="Times New Roman"/>
                <w:bCs/>
                <w:color w:val="000000" w:themeColor="text1"/>
              </w:rPr>
              <w:t xml:space="preserve">ăn cứ theo </w:t>
            </w:r>
            <w:r w:rsidR="00877D6E" w:rsidRPr="002912AA">
              <w:rPr>
                <w:rFonts w:ascii="Times New Roman" w:hAnsi="Times New Roman"/>
                <w:bCs/>
                <w:color w:val="000000" w:themeColor="text1"/>
              </w:rPr>
              <w:t xml:space="preserve">Điều 5, </w:t>
            </w:r>
            <w:r w:rsidR="00877D6E" w:rsidRPr="002912AA">
              <w:rPr>
                <w:rFonts w:ascii="Times New Roman" w:hAnsi="Times New Roman"/>
                <w:color w:val="000000" w:themeColor="text1"/>
              </w:rPr>
              <w:t xml:space="preserve">Nghị định số 128/2025/NĐ-CP ngày 11 tháng 6 năm 2025 của Chính phủ </w:t>
            </w:r>
            <w:r w:rsidR="00877D6E" w:rsidRPr="002912AA">
              <w:rPr>
                <w:rFonts w:ascii="Times New Roman" w:hAnsi="Times New Roman"/>
                <w:iCs/>
                <w:color w:val="000000" w:themeColor="text1"/>
                <w:shd w:val="clear" w:color="auto" w:fill="FFFFFF"/>
              </w:rPr>
              <w:t xml:space="preserve">quy định về </w:t>
            </w:r>
            <w:r w:rsidR="00877D6E" w:rsidRPr="002912AA">
              <w:rPr>
                <w:rFonts w:ascii="Times New Roman" w:hAnsi="Times New Roman"/>
                <w:iCs/>
                <w:color w:val="000000" w:themeColor="text1"/>
                <w:shd w:val="clear" w:color="auto" w:fill="FFFFFF"/>
              </w:rPr>
              <w:lastRenderedPageBreak/>
              <w:t>phân quyền, phân cấp trong quản lý nhà nước lĩnh vực nội vụ</w:t>
            </w:r>
            <w:r w:rsidR="0006273B">
              <w:rPr>
                <w:rFonts w:ascii="Times New Roman" w:hAnsi="Times New Roman"/>
                <w:iCs/>
                <w:color w:val="000000" w:themeColor="text1"/>
                <w:shd w:val="clear" w:color="auto" w:fill="FFFFFF"/>
              </w:rPr>
              <w:t>.</w:t>
            </w:r>
            <w:r w:rsidR="00877D6E" w:rsidRPr="002912AA">
              <w:rPr>
                <w:rFonts w:ascii="Times New Roman" w:hAnsi="Times New Roman"/>
                <w:iCs/>
                <w:color w:val="000000" w:themeColor="text1"/>
                <w:shd w:val="clear" w:color="auto" w:fill="FFFFFF"/>
              </w:rPr>
              <w:t xml:space="preserve"> </w:t>
            </w:r>
          </w:p>
          <w:bookmarkEnd w:id="1"/>
          <w:p w:rsidR="00877D6E" w:rsidRPr="002912AA" w:rsidRDefault="00877D6E" w:rsidP="004378AA">
            <w:pPr>
              <w:shd w:val="clear" w:color="auto" w:fill="FFFFFF"/>
              <w:spacing w:line="234" w:lineRule="atLeast"/>
              <w:rPr>
                <w:rFonts w:ascii="Times New Roman" w:hAnsi="Times New Roman"/>
                <w:color w:val="000000" w:themeColor="text1"/>
              </w:rPr>
            </w:pPr>
          </w:p>
        </w:tc>
      </w:tr>
      <w:tr w:rsidR="002912AA" w:rsidRPr="002912AA" w:rsidTr="006E508D">
        <w:trPr>
          <w:trHeight w:val="258"/>
        </w:trPr>
        <w:tc>
          <w:tcPr>
            <w:tcW w:w="3378" w:type="dxa"/>
          </w:tcPr>
          <w:p w:rsidR="00616220" w:rsidRPr="002912AA" w:rsidRDefault="004366E4" w:rsidP="00616220">
            <w:pPr>
              <w:spacing w:after="120"/>
              <w:jc w:val="both"/>
              <w:rPr>
                <w:rFonts w:ascii="Times New Roman" w:hAnsi="Times New Roman"/>
                <w:bCs/>
                <w:color w:val="000000" w:themeColor="text1"/>
              </w:rPr>
            </w:pPr>
            <w:r w:rsidRPr="002912AA">
              <w:rPr>
                <w:rFonts w:ascii="Times New Roman" w:hAnsi="Times New Roman"/>
                <w:b/>
                <w:bCs/>
                <w:color w:val="000000" w:themeColor="text1"/>
              </w:rPr>
              <w:lastRenderedPageBreak/>
              <w:t xml:space="preserve">Điều 5. </w:t>
            </w:r>
            <w:r w:rsidRPr="002912AA">
              <w:rPr>
                <w:rFonts w:ascii="Times New Roman" w:hAnsi="Times New Roman"/>
                <w:bCs/>
                <w:color w:val="000000" w:themeColor="text1"/>
              </w:rPr>
              <w:t>Nội dung quản lý công trình ghi công liệt sĩ, mộ liệt sĩ</w:t>
            </w:r>
          </w:p>
          <w:p w:rsidR="006E508D" w:rsidRDefault="006E508D" w:rsidP="004366E4">
            <w:pPr>
              <w:spacing w:after="120"/>
              <w:jc w:val="both"/>
              <w:rPr>
                <w:rFonts w:ascii="Times New Roman" w:hAnsi="Times New Roman"/>
                <w:bCs/>
                <w:color w:val="000000" w:themeColor="text1"/>
              </w:rPr>
            </w:pPr>
            <w:r>
              <w:rPr>
                <w:rFonts w:ascii="Times New Roman" w:hAnsi="Times New Roman"/>
                <w:bCs/>
                <w:color w:val="000000" w:themeColor="text1"/>
              </w:rPr>
              <w:t>…</w:t>
            </w:r>
          </w:p>
          <w:p w:rsidR="006E508D" w:rsidRDefault="006E508D" w:rsidP="004366E4">
            <w:pPr>
              <w:spacing w:after="120"/>
              <w:jc w:val="both"/>
              <w:rPr>
                <w:rFonts w:ascii="Times New Roman" w:hAnsi="Times New Roman"/>
                <w:bCs/>
                <w:color w:val="000000" w:themeColor="text1"/>
              </w:rPr>
            </w:pPr>
          </w:p>
          <w:p w:rsidR="006E508D" w:rsidRDefault="006E508D" w:rsidP="004366E4">
            <w:pPr>
              <w:spacing w:after="120"/>
              <w:jc w:val="both"/>
              <w:rPr>
                <w:rFonts w:ascii="Times New Roman" w:hAnsi="Times New Roman"/>
                <w:bCs/>
                <w:color w:val="000000" w:themeColor="text1"/>
              </w:rPr>
            </w:pPr>
          </w:p>
          <w:p w:rsidR="006E508D" w:rsidRDefault="006E508D" w:rsidP="004366E4">
            <w:pPr>
              <w:spacing w:after="120"/>
              <w:jc w:val="both"/>
              <w:rPr>
                <w:rFonts w:ascii="Times New Roman" w:hAnsi="Times New Roman"/>
                <w:bCs/>
                <w:color w:val="000000" w:themeColor="text1"/>
              </w:rPr>
            </w:pPr>
          </w:p>
          <w:p w:rsidR="004366E4" w:rsidRPr="006E508D" w:rsidRDefault="004366E4" w:rsidP="00616220">
            <w:pPr>
              <w:spacing w:after="120"/>
              <w:jc w:val="both"/>
              <w:rPr>
                <w:rFonts w:ascii="Times New Roman" w:hAnsi="Times New Roman"/>
                <w:bCs/>
                <w:color w:val="000000" w:themeColor="text1"/>
              </w:rPr>
            </w:pPr>
            <w:r w:rsidRPr="002912AA">
              <w:rPr>
                <w:rFonts w:ascii="Times New Roman" w:hAnsi="Times New Roman"/>
                <w:bCs/>
                <w:color w:val="000000" w:themeColor="text1"/>
              </w:rPr>
              <w:t>c) Tổ chức lễ truy điệu, tiếp nhận và an táng hài cốt liệt sĩ do các địa phương, đơn vị tìm kiếm, quy tập bàn giao; tiếp nhận, an táng hài cốt liệt sĩ do thân nhân liệt sĩ di chuyển từ các nghĩa trang liệt sĩ trong nước về an táng theo nguyện vọng của thân nhân hoặc người thờ cúng liệt sĩ, khắc tên bia theo nội dung hướng dẫn của Bộ Lao động - Thương binh và Xã hội.</w:t>
            </w:r>
          </w:p>
        </w:tc>
        <w:tc>
          <w:tcPr>
            <w:tcW w:w="3518" w:type="dxa"/>
          </w:tcPr>
          <w:p w:rsidR="004366E4" w:rsidRPr="002912AA" w:rsidRDefault="004366E4" w:rsidP="004366E4">
            <w:pPr>
              <w:spacing w:after="120"/>
              <w:jc w:val="both"/>
              <w:rPr>
                <w:rFonts w:ascii="Times New Roman" w:hAnsi="Times New Roman"/>
                <w:bCs/>
                <w:color w:val="000000" w:themeColor="text1"/>
              </w:rPr>
            </w:pPr>
            <w:r w:rsidRPr="002912AA">
              <w:rPr>
                <w:rFonts w:ascii="Times New Roman" w:hAnsi="Times New Roman"/>
                <w:b/>
                <w:bCs/>
                <w:color w:val="000000" w:themeColor="text1"/>
              </w:rPr>
              <w:t xml:space="preserve">Điều 5. </w:t>
            </w:r>
            <w:r w:rsidRPr="002912AA">
              <w:rPr>
                <w:rFonts w:ascii="Times New Roman" w:hAnsi="Times New Roman"/>
                <w:bCs/>
                <w:color w:val="000000" w:themeColor="text1"/>
              </w:rPr>
              <w:t>Nội dung quản lý công trình ghi công liệt sĩ, mộ liệt sĩ</w:t>
            </w:r>
          </w:p>
          <w:p w:rsidR="006E508D" w:rsidRDefault="006E508D" w:rsidP="004366E4">
            <w:pPr>
              <w:spacing w:after="120"/>
              <w:jc w:val="both"/>
              <w:rPr>
                <w:rFonts w:ascii="Times New Roman" w:hAnsi="Times New Roman"/>
                <w:bCs/>
                <w:color w:val="000000" w:themeColor="text1"/>
              </w:rPr>
            </w:pPr>
            <w:r>
              <w:rPr>
                <w:rFonts w:ascii="Times New Roman" w:hAnsi="Times New Roman"/>
                <w:bCs/>
                <w:color w:val="000000" w:themeColor="text1"/>
              </w:rPr>
              <w:t>…</w:t>
            </w:r>
          </w:p>
          <w:p w:rsidR="006E508D" w:rsidRDefault="006E508D" w:rsidP="004366E4">
            <w:pPr>
              <w:spacing w:after="120"/>
              <w:jc w:val="both"/>
              <w:rPr>
                <w:rFonts w:ascii="Times New Roman" w:hAnsi="Times New Roman"/>
                <w:bCs/>
                <w:color w:val="000000" w:themeColor="text1"/>
              </w:rPr>
            </w:pPr>
          </w:p>
          <w:p w:rsidR="006E508D" w:rsidRDefault="006E508D" w:rsidP="004366E4">
            <w:pPr>
              <w:spacing w:after="120"/>
              <w:jc w:val="both"/>
              <w:rPr>
                <w:rFonts w:ascii="Times New Roman" w:hAnsi="Times New Roman"/>
                <w:bCs/>
                <w:color w:val="000000" w:themeColor="text1"/>
              </w:rPr>
            </w:pPr>
          </w:p>
          <w:p w:rsidR="006E508D" w:rsidRDefault="006E508D" w:rsidP="004366E4">
            <w:pPr>
              <w:spacing w:after="120"/>
              <w:jc w:val="both"/>
              <w:rPr>
                <w:rFonts w:ascii="Times New Roman" w:hAnsi="Times New Roman"/>
                <w:bCs/>
                <w:color w:val="000000" w:themeColor="text1"/>
              </w:rPr>
            </w:pPr>
          </w:p>
          <w:p w:rsidR="004366E4" w:rsidRPr="002912AA" w:rsidRDefault="004366E4" w:rsidP="004366E4">
            <w:pPr>
              <w:spacing w:after="120"/>
              <w:jc w:val="both"/>
              <w:rPr>
                <w:rFonts w:ascii="Times New Roman" w:hAnsi="Times New Roman"/>
                <w:bCs/>
                <w:color w:val="000000" w:themeColor="text1"/>
              </w:rPr>
            </w:pPr>
            <w:r w:rsidRPr="002912AA">
              <w:rPr>
                <w:rFonts w:ascii="Times New Roman" w:hAnsi="Times New Roman"/>
                <w:bCs/>
                <w:color w:val="000000" w:themeColor="text1"/>
              </w:rPr>
              <w:t>c) Tổ chức lễ truy điệu, tiếp nhận và an táng hài cốt liệt sĩ do các địa phương, đơn vị tìm kiếm, quy tập bàn giao; tiếp nhận, an táng hài cốt liệt sĩ do thân nhân liệt sĩ di chuyển từ các nghĩa trang liệt sĩ trong nước về an táng theo nguyện vọng của thân nhân hoặc người thờ cúng liệt sĩ, khắc tên bia theo nội dung hướng dẫn của Bộ Nội vụ.</w:t>
            </w:r>
          </w:p>
          <w:p w:rsidR="00616220" w:rsidRPr="002912AA" w:rsidRDefault="00616220" w:rsidP="00616220">
            <w:pPr>
              <w:spacing w:after="120"/>
              <w:jc w:val="both"/>
              <w:rPr>
                <w:rFonts w:ascii="Times New Roman" w:hAnsi="Times New Roman"/>
                <w:b/>
                <w:bCs/>
                <w:color w:val="000000" w:themeColor="text1"/>
              </w:rPr>
            </w:pPr>
          </w:p>
        </w:tc>
        <w:tc>
          <w:tcPr>
            <w:tcW w:w="3518" w:type="dxa"/>
          </w:tcPr>
          <w:p w:rsidR="00632607" w:rsidRPr="002912AA" w:rsidRDefault="00632607" w:rsidP="004366E4">
            <w:pPr>
              <w:widowControl w:val="0"/>
              <w:spacing w:before="120" w:line="288" w:lineRule="auto"/>
              <w:ind w:right="77"/>
              <w:jc w:val="both"/>
              <w:rPr>
                <w:rFonts w:ascii="Times New Roman" w:hAnsi="Times New Roman"/>
                <w:bCs/>
                <w:color w:val="000000" w:themeColor="text1"/>
              </w:rPr>
            </w:pPr>
            <w:r w:rsidRPr="002912AA">
              <w:rPr>
                <w:rFonts w:ascii="Times New Roman" w:hAnsi="Times New Roman"/>
                <w:color w:val="000000" w:themeColor="text1"/>
                <w:lang w:val="vi-VN"/>
              </w:rPr>
              <w:t xml:space="preserve">Căn cứ Luật Tổ chức chính quyền địa phương </w:t>
            </w:r>
            <w:r w:rsidRPr="002912AA">
              <w:rPr>
                <w:rFonts w:ascii="Times New Roman" w:hAnsi="Times New Roman"/>
                <w:color w:val="000000" w:themeColor="text1"/>
              </w:rPr>
              <w:t>số 72/2025/QH15</w:t>
            </w:r>
            <w:r w:rsidRPr="002912AA">
              <w:rPr>
                <w:rFonts w:ascii="Times New Roman" w:hAnsi="Times New Roman"/>
                <w:color w:val="000000" w:themeColor="text1"/>
                <w:lang w:val="vi-VN"/>
              </w:rPr>
              <w:t>;</w:t>
            </w:r>
            <w:r w:rsidRPr="002912AA">
              <w:rPr>
                <w:rFonts w:ascii="Times New Roman" w:hAnsi="Times New Roman"/>
                <w:iCs/>
                <w:color w:val="000000" w:themeColor="text1"/>
              </w:rPr>
              <w:t xml:space="preserve"> Luật Ban hành văn bản quy phạm pháp luật số 64/2025/QH15 được sửa đổi, bổ sung bởi Luật số 87/2025/QH15.</w:t>
            </w:r>
            <w:r w:rsidRPr="002912AA">
              <w:rPr>
                <w:rFonts w:ascii="Times New Roman" w:hAnsi="Times New Roman"/>
                <w:bCs/>
                <w:color w:val="000000" w:themeColor="text1"/>
              </w:rPr>
              <w:t xml:space="preserve"> </w:t>
            </w:r>
          </w:p>
          <w:p w:rsidR="004366E4" w:rsidRPr="002912AA" w:rsidRDefault="004366E4" w:rsidP="004366E4">
            <w:pPr>
              <w:widowControl w:val="0"/>
              <w:spacing w:before="120" w:line="288" w:lineRule="auto"/>
              <w:ind w:right="77"/>
              <w:jc w:val="both"/>
              <w:rPr>
                <w:rFonts w:ascii="Times New Roman" w:hAnsi="Times New Roman"/>
                <w:iCs/>
                <w:color w:val="000000" w:themeColor="text1"/>
                <w:shd w:val="clear" w:color="auto" w:fill="FFFFFF"/>
              </w:rPr>
            </w:pPr>
            <w:r w:rsidRPr="002912AA">
              <w:rPr>
                <w:rFonts w:ascii="Times New Roman" w:hAnsi="Times New Roman"/>
                <w:bCs/>
                <w:color w:val="000000" w:themeColor="text1"/>
              </w:rPr>
              <w:t xml:space="preserve">Căn cứ theo Điều 5, </w:t>
            </w:r>
            <w:r w:rsidRPr="002912AA">
              <w:rPr>
                <w:rFonts w:ascii="Times New Roman" w:hAnsi="Times New Roman"/>
                <w:color w:val="000000" w:themeColor="text1"/>
              </w:rPr>
              <w:t xml:space="preserve">Nghị định số 128/2025/NĐ-CP ngày 11 tháng 6 năm 2025 của Chính phủ </w:t>
            </w:r>
            <w:r w:rsidRPr="002912AA">
              <w:rPr>
                <w:rFonts w:ascii="Times New Roman" w:hAnsi="Times New Roman"/>
                <w:iCs/>
                <w:color w:val="000000" w:themeColor="text1"/>
                <w:shd w:val="clear" w:color="auto" w:fill="FFFFFF"/>
              </w:rPr>
              <w:t xml:space="preserve">quy định về phân quyền, phân cấp trong quản lý nhà nước lĩnh vực nội vụ; </w:t>
            </w:r>
          </w:p>
          <w:p w:rsidR="00616220" w:rsidRPr="002912AA" w:rsidRDefault="00616220" w:rsidP="00877D6E">
            <w:pPr>
              <w:widowControl w:val="0"/>
              <w:spacing w:before="120" w:line="288" w:lineRule="auto"/>
              <w:ind w:right="77"/>
              <w:jc w:val="both"/>
              <w:rPr>
                <w:rFonts w:ascii="Times New Roman" w:hAnsi="Times New Roman"/>
                <w:bCs/>
                <w:color w:val="000000" w:themeColor="text1"/>
              </w:rPr>
            </w:pPr>
          </w:p>
        </w:tc>
      </w:tr>
      <w:tr w:rsidR="002912AA" w:rsidRPr="002912AA" w:rsidTr="006E508D">
        <w:trPr>
          <w:trHeight w:val="258"/>
        </w:trPr>
        <w:tc>
          <w:tcPr>
            <w:tcW w:w="3378" w:type="dxa"/>
          </w:tcPr>
          <w:p w:rsidR="00632607" w:rsidRPr="002912AA" w:rsidRDefault="00632607" w:rsidP="00632607">
            <w:pPr>
              <w:spacing w:after="120"/>
              <w:ind w:firstLine="180"/>
              <w:jc w:val="both"/>
              <w:rPr>
                <w:rFonts w:ascii="Times New Roman" w:hAnsi="Times New Roman"/>
                <w:b/>
                <w:bCs/>
                <w:color w:val="000000" w:themeColor="text1"/>
              </w:rPr>
            </w:pPr>
            <w:r w:rsidRPr="002912AA">
              <w:rPr>
                <w:rFonts w:ascii="Times New Roman" w:hAnsi="Times New Roman"/>
                <w:b/>
                <w:bCs/>
                <w:color w:val="000000" w:themeColor="text1"/>
              </w:rPr>
              <w:t>Điều 6: Trách nhiệm của các cơ quan, đơn vị</w:t>
            </w:r>
          </w:p>
          <w:p w:rsidR="00632607" w:rsidRPr="002912AA" w:rsidRDefault="00632607" w:rsidP="00632607">
            <w:pPr>
              <w:pStyle w:val="ListParagraph"/>
              <w:numPr>
                <w:ilvl w:val="0"/>
                <w:numId w:val="2"/>
              </w:numPr>
              <w:spacing w:after="120"/>
              <w:ind w:left="463"/>
              <w:jc w:val="both"/>
              <w:rPr>
                <w:rFonts w:ascii="Times New Roman" w:hAnsi="Times New Roman"/>
                <w:bCs/>
                <w:color w:val="000000" w:themeColor="text1"/>
              </w:rPr>
            </w:pPr>
            <w:r w:rsidRPr="002912AA">
              <w:rPr>
                <w:rFonts w:ascii="Times New Roman" w:hAnsi="Times New Roman"/>
                <w:bCs/>
                <w:color w:val="000000" w:themeColor="text1"/>
              </w:rPr>
              <w:t>Sở Lao động – Thương binh và Xã hội</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 xml:space="preserve">a) Triển khai và hướng dẫn thực hiện công tác quản lý công trình ghi công liệt sĩ, mộ liệt sĩ trên địa bàn tỉnh theo quy định; tham mưu giải quyết những vướng mắc trong quá trình triển khai thực hiện. </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 xml:space="preserve">b) Hằng năm, tổng hợp, </w:t>
            </w:r>
            <w:r w:rsidRPr="000A7391">
              <w:rPr>
                <w:rFonts w:ascii="Times New Roman" w:hAnsi="Times New Roman"/>
                <w:bCs/>
              </w:rPr>
              <w:lastRenderedPageBreak/>
              <w:t>lập kế hoạch đầu tư xây dựng mới, cải tạo, nâng cấp, sửa chữa các công trình ghi công liệt sĩ, mộ liệt sĩ trình cấp có thẩm quyền xem xét, quyết định.</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c) Hằng năm Lập và tổng hợp dự toán kinh phí thực hiện công tác mộ và cải tạo, nâng cấp, sửa chữa, bảo trì các công trình ghi công liệt sĩ vào dự toán kinh phí thực hiện Pháp lệnh Ưu đãi người có công với cách mạng của địa phương để trình Bộ Nội vụ hỗ trợ theo quy định.</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d) Tham mưu phân bổ nguồn kinh phí Trung ương, địa phương và nguồn kinh phí huy động từ cộng đồng (nếu có) để hỗ trợ cho các địa phương cải tạo, nâng cấp, sửa chữa các công trìn</w:t>
            </w:r>
            <w:r>
              <w:rPr>
                <w:rFonts w:ascii="Times New Roman" w:hAnsi="Times New Roman"/>
                <w:bCs/>
              </w:rPr>
              <w:t>h ghi công liệt sĩ, mộ liệt sĩ.</w:t>
            </w:r>
          </w:p>
          <w:p w:rsidR="000A7391" w:rsidRP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đ) Thực hiện các nhiệm vụ được quy định tại khoản 3 Điều 153 Nghị định số 131/2021/NĐ-CP.</w:t>
            </w:r>
          </w:p>
          <w:p w:rsidR="00632607" w:rsidRPr="002912AA" w:rsidRDefault="00632607" w:rsidP="00632607">
            <w:pPr>
              <w:spacing w:after="120"/>
              <w:jc w:val="both"/>
              <w:rPr>
                <w:rFonts w:ascii="Times New Roman" w:hAnsi="Times New Roman"/>
                <w:bCs/>
                <w:color w:val="000000" w:themeColor="text1"/>
              </w:rPr>
            </w:pPr>
          </w:p>
          <w:p w:rsidR="00632607" w:rsidRPr="002912AA" w:rsidRDefault="00632607" w:rsidP="00632607">
            <w:pPr>
              <w:spacing w:after="120"/>
              <w:jc w:val="both"/>
              <w:rPr>
                <w:rFonts w:ascii="Times New Roman" w:hAnsi="Times New Roman"/>
                <w:bCs/>
                <w:color w:val="000000" w:themeColor="text1"/>
              </w:rPr>
            </w:pPr>
          </w:p>
          <w:p w:rsidR="00632607" w:rsidRPr="002912AA" w:rsidRDefault="00632607" w:rsidP="00632607">
            <w:pPr>
              <w:spacing w:after="120"/>
              <w:jc w:val="both"/>
              <w:rPr>
                <w:rFonts w:ascii="Times New Roman" w:hAnsi="Times New Roman"/>
                <w:bCs/>
                <w:color w:val="000000" w:themeColor="text1"/>
              </w:rPr>
            </w:pPr>
          </w:p>
          <w:p w:rsidR="00632607" w:rsidRPr="002912AA" w:rsidRDefault="00632607" w:rsidP="00632607">
            <w:pPr>
              <w:spacing w:after="120"/>
              <w:jc w:val="both"/>
              <w:rPr>
                <w:rFonts w:ascii="Times New Roman" w:hAnsi="Times New Roman"/>
                <w:bCs/>
                <w:color w:val="000000" w:themeColor="text1"/>
              </w:rPr>
            </w:pPr>
          </w:p>
          <w:p w:rsidR="00632607" w:rsidRPr="002912AA" w:rsidRDefault="00632607" w:rsidP="00632607">
            <w:pPr>
              <w:spacing w:after="120"/>
              <w:jc w:val="both"/>
              <w:rPr>
                <w:rFonts w:ascii="Times New Roman" w:hAnsi="Times New Roman"/>
                <w:bCs/>
                <w:color w:val="000000" w:themeColor="text1"/>
              </w:rPr>
            </w:pPr>
          </w:p>
          <w:p w:rsidR="000B24D7" w:rsidRPr="002912AA" w:rsidRDefault="000B24D7" w:rsidP="00632607">
            <w:pPr>
              <w:spacing w:after="120"/>
              <w:jc w:val="both"/>
              <w:rPr>
                <w:rFonts w:ascii="Times New Roman" w:hAnsi="Times New Roman"/>
                <w:bCs/>
                <w:color w:val="000000" w:themeColor="text1"/>
              </w:rPr>
            </w:pPr>
          </w:p>
          <w:p w:rsidR="00632607" w:rsidRPr="002912AA" w:rsidRDefault="00632607" w:rsidP="00632607">
            <w:pPr>
              <w:pStyle w:val="ListParagraph"/>
              <w:numPr>
                <w:ilvl w:val="0"/>
                <w:numId w:val="2"/>
              </w:numPr>
              <w:spacing w:after="120"/>
              <w:ind w:left="463"/>
              <w:jc w:val="both"/>
              <w:rPr>
                <w:rFonts w:ascii="Times New Roman" w:hAnsi="Times New Roman"/>
                <w:bCs/>
                <w:color w:val="000000" w:themeColor="text1"/>
              </w:rPr>
            </w:pPr>
            <w:r w:rsidRPr="002912AA">
              <w:rPr>
                <w:rFonts w:ascii="Times New Roman" w:hAnsi="Times New Roman"/>
                <w:bCs/>
                <w:color w:val="000000" w:themeColor="text1"/>
              </w:rPr>
              <w:t>Sở Kế hoạch và Đầu tư</w:t>
            </w:r>
          </w:p>
          <w:p w:rsidR="006E2428" w:rsidRPr="002912AA" w:rsidRDefault="006E2428" w:rsidP="00632607">
            <w:pPr>
              <w:pStyle w:val="ListParagraph"/>
              <w:numPr>
                <w:ilvl w:val="0"/>
                <w:numId w:val="2"/>
              </w:numPr>
              <w:spacing w:after="120"/>
              <w:ind w:left="463"/>
              <w:jc w:val="both"/>
              <w:rPr>
                <w:rFonts w:ascii="Times New Roman" w:hAnsi="Times New Roman"/>
                <w:bCs/>
                <w:color w:val="000000" w:themeColor="text1"/>
              </w:rPr>
            </w:pPr>
            <w:r w:rsidRPr="002912AA">
              <w:rPr>
                <w:rFonts w:ascii="Times New Roman" w:hAnsi="Times New Roman"/>
                <w:bCs/>
                <w:color w:val="000000" w:themeColor="text1"/>
              </w:rPr>
              <w:t>Sở Tài Chính</w:t>
            </w:r>
          </w:p>
          <w:p w:rsidR="006E2428" w:rsidRPr="002912AA" w:rsidRDefault="006E2428" w:rsidP="006E2428">
            <w:pPr>
              <w:spacing w:after="120"/>
              <w:jc w:val="both"/>
              <w:rPr>
                <w:rFonts w:ascii="Times New Roman" w:hAnsi="Times New Roman"/>
                <w:bCs/>
                <w:color w:val="000000" w:themeColor="text1"/>
              </w:rPr>
            </w:pPr>
          </w:p>
          <w:p w:rsidR="00632607" w:rsidRPr="002912AA" w:rsidRDefault="00632607" w:rsidP="00616220">
            <w:pPr>
              <w:spacing w:after="120"/>
              <w:jc w:val="both"/>
              <w:rPr>
                <w:rFonts w:ascii="Times New Roman" w:hAnsi="Times New Roman"/>
                <w:b/>
                <w:bCs/>
                <w:color w:val="000000" w:themeColor="text1"/>
              </w:rPr>
            </w:pPr>
          </w:p>
        </w:tc>
        <w:tc>
          <w:tcPr>
            <w:tcW w:w="3518" w:type="dxa"/>
          </w:tcPr>
          <w:p w:rsidR="000A7391" w:rsidRDefault="00632607" w:rsidP="000A7391">
            <w:pPr>
              <w:spacing w:after="120"/>
              <w:ind w:firstLine="180"/>
              <w:jc w:val="both"/>
              <w:rPr>
                <w:rFonts w:ascii="Times New Roman" w:hAnsi="Times New Roman"/>
                <w:b/>
                <w:bCs/>
                <w:color w:val="000000" w:themeColor="text1"/>
              </w:rPr>
            </w:pPr>
            <w:r w:rsidRPr="002912AA">
              <w:rPr>
                <w:rFonts w:ascii="Times New Roman" w:hAnsi="Times New Roman"/>
                <w:b/>
                <w:bCs/>
                <w:color w:val="000000" w:themeColor="text1"/>
              </w:rPr>
              <w:lastRenderedPageBreak/>
              <w:t>Điều 6: Trách nhiệm của các cơ quan, đơn vị</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color w:val="000000" w:themeColor="text1"/>
              </w:rPr>
              <w:t>1.</w:t>
            </w:r>
            <w:r>
              <w:rPr>
                <w:rFonts w:ascii="Times New Roman" w:hAnsi="Times New Roman"/>
                <w:b/>
                <w:bCs/>
                <w:color w:val="000000" w:themeColor="text1"/>
              </w:rPr>
              <w:t xml:space="preserve"> </w:t>
            </w:r>
            <w:r w:rsidR="00632607" w:rsidRPr="002912AA">
              <w:rPr>
                <w:rFonts w:ascii="Times New Roman" w:hAnsi="Times New Roman"/>
                <w:bCs/>
                <w:color w:val="000000" w:themeColor="text1"/>
              </w:rPr>
              <w:t>Sở Nội vụ</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 xml:space="preserve">a) Triển khai và hướng dẫn thực hiện công tác quản lý công trình ghi công liệt sĩ, mộ liệt sĩ trên địa bàn tỉnh theo quy định; tham mưu giải quyết những vướng mắc trong quá trình triển khai thực hiện. </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 xml:space="preserve">b) Hằng năm, tổng hợp, lập kế hoạch đầu tư xây dựng </w:t>
            </w:r>
            <w:r w:rsidRPr="000A7391">
              <w:rPr>
                <w:rFonts w:ascii="Times New Roman" w:hAnsi="Times New Roman"/>
                <w:bCs/>
              </w:rPr>
              <w:lastRenderedPageBreak/>
              <w:t>mới, cải tạo, nâng cấp, sửa chữa các công trình ghi công liệt sĩ, mộ liệt sĩ trình cấp có thẩm quyền xem xét, quyết định.</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c) Hằng năm Lập và tổng hợp dự toán kinh phí thực hiện công tác mộ và cải tạo, nâng cấp, sửa chữa, bảo trì các công trình ghi công liệt sĩ vào dự toán kinh phí thực hiện Pháp lệnh Ưu đãi người có công với cách mạng của địa phương để trình Bộ Nội vụ hỗ trợ theo quy định.</w:t>
            </w:r>
          </w:p>
          <w:p w:rsid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d) Tham mưu phân bổ nguồn kinh phí Trung ương, địa phương và nguồn kinh phí huy động từ cộng đồng (nếu có) để hỗ trợ cho các địa phương cải tạo, nâng cấp, sửa chữa các công trìn</w:t>
            </w:r>
            <w:r>
              <w:rPr>
                <w:rFonts w:ascii="Times New Roman" w:hAnsi="Times New Roman"/>
                <w:bCs/>
              </w:rPr>
              <w:t>h ghi công liệt sĩ, mộ liệt sĩ.</w:t>
            </w:r>
          </w:p>
          <w:p w:rsidR="000A7391" w:rsidRPr="000A7391" w:rsidRDefault="000A7391" w:rsidP="000A7391">
            <w:pPr>
              <w:spacing w:after="120"/>
              <w:ind w:firstLine="180"/>
              <w:jc w:val="both"/>
              <w:rPr>
                <w:rFonts w:ascii="Times New Roman" w:hAnsi="Times New Roman"/>
                <w:b/>
                <w:bCs/>
                <w:color w:val="000000" w:themeColor="text1"/>
              </w:rPr>
            </w:pPr>
            <w:r w:rsidRPr="000A7391">
              <w:rPr>
                <w:rFonts w:ascii="Times New Roman" w:hAnsi="Times New Roman"/>
                <w:bCs/>
              </w:rPr>
              <w:t>đ) Thực hiện các nhiệm vụ được quy định tại khoản 3 Điều 153 Nghị định số 131/2021/NĐ-CP.</w:t>
            </w:r>
          </w:p>
          <w:p w:rsidR="005528CD" w:rsidRPr="000A7391" w:rsidRDefault="00632607" w:rsidP="000A7391">
            <w:pPr>
              <w:spacing w:after="120"/>
              <w:ind w:firstLine="35"/>
              <w:jc w:val="both"/>
              <w:rPr>
                <w:rFonts w:ascii="Times New Roman" w:hAnsi="Times New Roman"/>
                <w:color w:val="000000" w:themeColor="text1"/>
              </w:rPr>
            </w:pPr>
            <w:r w:rsidRPr="002912AA">
              <w:rPr>
                <w:rFonts w:ascii="Times New Roman" w:hAnsi="Times New Roman"/>
                <w:bCs/>
                <w:color w:val="000000" w:themeColor="text1"/>
              </w:rPr>
              <w:t xml:space="preserve">e) </w:t>
            </w:r>
            <w:r w:rsidRPr="002912AA">
              <w:rPr>
                <w:rFonts w:ascii="Times New Roman" w:hAnsi="Times New Roman"/>
                <w:color w:val="000000" w:themeColor="text1"/>
              </w:rPr>
              <w:t>Thực hiện nội dung quản lý mộ liệt sĩ, nghĩa trang liệt sĩ theo quy định tại khoản 3 Điều 35 Nghị định số 129/2025/NĐ-CP ngày 11/6/2025 của Chính phủ quy định về phân định thẩm quyền của chính quyền địa phương 02 cấp trong lĩnh vực quản lý nhà nước của Bộ Nội vụ.</w:t>
            </w:r>
          </w:p>
          <w:p w:rsidR="00632607" w:rsidRPr="000A7391" w:rsidRDefault="006E2428" w:rsidP="004366E4">
            <w:pPr>
              <w:spacing w:after="120"/>
              <w:jc w:val="both"/>
              <w:rPr>
                <w:rFonts w:ascii="Times New Roman" w:hAnsi="Times New Roman"/>
                <w:bCs/>
                <w:color w:val="000000" w:themeColor="text1"/>
              </w:rPr>
            </w:pPr>
            <w:r w:rsidRPr="002912AA">
              <w:rPr>
                <w:rFonts w:ascii="Times New Roman" w:hAnsi="Times New Roman"/>
                <w:bCs/>
                <w:color w:val="000000" w:themeColor="text1"/>
              </w:rPr>
              <w:t xml:space="preserve">2. Sở Tài chính: Chủ trì, phối hợp với các cơ quan liên quan tham mưu Ủy ban nhân dân tỉnh bố trí vốn đâu tư </w:t>
            </w:r>
            <w:r w:rsidRPr="002912AA">
              <w:rPr>
                <w:rFonts w:ascii="Times New Roman" w:hAnsi="Times New Roman"/>
                <w:bCs/>
                <w:color w:val="000000" w:themeColor="text1"/>
              </w:rPr>
              <w:lastRenderedPageBreak/>
              <w:t>phát triển để xây dựng, mở rộng, cải tạo, nâng cấp các công trình ghi công liệt sĩ, xây dựng nhà bia ghi tên liệt sĩ theo kế hoạch của các địa phương, có trong kế hoạch đầu tư công trung hạn theo quy định.</w:t>
            </w:r>
          </w:p>
        </w:tc>
        <w:tc>
          <w:tcPr>
            <w:tcW w:w="3518" w:type="dxa"/>
          </w:tcPr>
          <w:p w:rsidR="00632607" w:rsidRPr="002912AA" w:rsidRDefault="00632607" w:rsidP="00632607">
            <w:pPr>
              <w:widowControl w:val="0"/>
              <w:spacing w:before="120" w:line="288" w:lineRule="auto"/>
              <w:ind w:right="77"/>
              <w:jc w:val="both"/>
              <w:rPr>
                <w:rFonts w:ascii="Times New Roman" w:hAnsi="Times New Roman"/>
                <w:iCs/>
                <w:color w:val="000000" w:themeColor="text1"/>
              </w:rPr>
            </w:pPr>
            <w:r w:rsidRPr="002912AA">
              <w:rPr>
                <w:rFonts w:ascii="Times New Roman" w:hAnsi="Times New Roman"/>
                <w:color w:val="000000" w:themeColor="text1"/>
                <w:lang w:val="vi-VN"/>
              </w:rPr>
              <w:lastRenderedPageBreak/>
              <w:t xml:space="preserve">Căn cứ Luật Tổ chức chính quyền địa phương </w:t>
            </w:r>
            <w:r w:rsidRPr="002912AA">
              <w:rPr>
                <w:rFonts w:ascii="Times New Roman" w:hAnsi="Times New Roman"/>
                <w:color w:val="000000" w:themeColor="text1"/>
              </w:rPr>
              <w:t>số 72/2025/QH15</w:t>
            </w:r>
            <w:r w:rsidRPr="002912AA">
              <w:rPr>
                <w:rFonts w:ascii="Times New Roman" w:hAnsi="Times New Roman"/>
                <w:color w:val="000000" w:themeColor="text1"/>
                <w:lang w:val="vi-VN"/>
              </w:rPr>
              <w:t>;</w:t>
            </w:r>
            <w:r w:rsidRPr="002912AA">
              <w:rPr>
                <w:rFonts w:ascii="Times New Roman" w:hAnsi="Times New Roman"/>
                <w:iCs/>
                <w:color w:val="000000" w:themeColor="text1"/>
              </w:rPr>
              <w:t xml:space="preserve"> Luật Ban hành văn bản quy phạm pháp luật số 64/2025/QH15 được sửa đổi, bổ sung bởi Luật số 87/2025/QH15.</w:t>
            </w:r>
          </w:p>
          <w:p w:rsidR="00632607" w:rsidRPr="002912AA" w:rsidRDefault="00632607" w:rsidP="00632607">
            <w:pPr>
              <w:spacing w:after="120"/>
              <w:ind w:firstLine="35"/>
              <w:jc w:val="both"/>
              <w:rPr>
                <w:rFonts w:ascii="Times New Roman" w:hAnsi="Times New Roman"/>
                <w:color w:val="000000" w:themeColor="text1"/>
              </w:rPr>
            </w:pPr>
            <w:r w:rsidRPr="002912AA">
              <w:rPr>
                <w:rFonts w:ascii="Times New Roman" w:hAnsi="Times New Roman"/>
                <w:color w:val="000000" w:themeColor="text1"/>
              </w:rPr>
              <w:t xml:space="preserve">Căn cứ Nghị định số 129/2025/NĐ-CP ngày 11/6/2025 của Chính phủ quy định về phân định thẩm quyền của chính quyền địa </w:t>
            </w:r>
            <w:r w:rsidRPr="002912AA">
              <w:rPr>
                <w:rFonts w:ascii="Times New Roman" w:hAnsi="Times New Roman"/>
                <w:color w:val="000000" w:themeColor="text1"/>
              </w:rPr>
              <w:lastRenderedPageBreak/>
              <w:t>phương 02 cấp trong lĩnh vực quản lý nhà nước của Bộ Nội vụ.</w:t>
            </w:r>
          </w:p>
          <w:p w:rsidR="00632607" w:rsidRPr="002912AA" w:rsidRDefault="00632607" w:rsidP="00632607">
            <w:pPr>
              <w:widowControl w:val="0"/>
              <w:spacing w:before="120" w:line="288" w:lineRule="auto"/>
              <w:ind w:right="77"/>
              <w:jc w:val="both"/>
              <w:rPr>
                <w:rFonts w:ascii="Times New Roman" w:hAnsi="Times New Roman"/>
                <w:color w:val="000000" w:themeColor="text1"/>
                <w:lang w:val="vi-VN"/>
              </w:rPr>
            </w:pPr>
          </w:p>
          <w:p w:rsidR="00632607" w:rsidRPr="002912AA" w:rsidRDefault="00632607" w:rsidP="00632607">
            <w:pPr>
              <w:widowControl w:val="0"/>
              <w:spacing w:before="120" w:line="288" w:lineRule="auto"/>
              <w:ind w:right="77"/>
              <w:jc w:val="both"/>
              <w:rPr>
                <w:rFonts w:ascii="Times New Roman" w:hAnsi="Times New Roman"/>
                <w:color w:val="000000" w:themeColor="text1"/>
                <w:lang w:val="vi-VN"/>
              </w:rPr>
            </w:pPr>
          </w:p>
          <w:p w:rsidR="005528CD" w:rsidRDefault="005528CD"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Default="000A7391" w:rsidP="00632607">
            <w:pPr>
              <w:widowControl w:val="0"/>
              <w:spacing w:before="120" w:line="288" w:lineRule="auto"/>
              <w:ind w:right="77"/>
              <w:jc w:val="both"/>
              <w:rPr>
                <w:rFonts w:ascii="Times New Roman" w:hAnsi="Times New Roman"/>
                <w:color w:val="000000" w:themeColor="text1"/>
              </w:rPr>
            </w:pPr>
          </w:p>
          <w:p w:rsidR="00472750" w:rsidRDefault="00472750" w:rsidP="00632607">
            <w:pPr>
              <w:widowControl w:val="0"/>
              <w:spacing w:before="120" w:line="288" w:lineRule="auto"/>
              <w:ind w:right="77"/>
              <w:jc w:val="both"/>
              <w:rPr>
                <w:rFonts w:ascii="Times New Roman" w:hAnsi="Times New Roman"/>
                <w:color w:val="000000" w:themeColor="text1"/>
              </w:rPr>
            </w:pPr>
          </w:p>
          <w:p w:rsidR="000A7391" w:rsidRDefault="00472750" w:rsidP="00632607">
            <w:pPr>
              <w:widowControl w:val="0"/>
              <w:spacing w:before="120" w:line="288" w:lineRule="auto"/>
              <w:ind w:right="77"/>
              <w:jc w:val="both"/>
              <w:rPr>
                <w:rFonts w:ascii="Times New Roman" w:hAnsi="Times New Roman"/>
                <w:color w:val="000000" w:themeColor="text1"/>
              </w:rPr>
            </w:pPr>
            <w:r w:rsidRPr="002912AA">
              <w:rPr>
                <w:rFonts w:ascii="Times New Roman" w:hAnsi="Times New Roman"/>
                <w:color w:val="000000" w:themeColor="text1"/>
                <w:lang w:val="vi-VN"/>
              </w:rPr>
              <w:t xml:space="preserve">Căn cứ Luật Tổ chức chính quyền địa phương </w:t>
            </w:r>
            <w:r w:rsidRPr="002912AA">
              <w:rPr>
                <w:rFonts w:ascii="Times New Roman" w:hAnsi="Times New Roman"/>
                <w:color w:val="000000" w:themeColor="text1"/>
              </w:rPr>
              <w:t xml:space="preserve">số </w:t>
            </w:r>
            <w:r w:rsidRPr="002912AA">
              <w:rPr>
                <w:rFonts w:ascii="Times New Roman" w:hAnsi="Times New Roman"/>
                <w:color w:val="000000" w:themeColor="text1"/>
              </w:rPr>
              <w:lastRenderedPageBreak/>
              <w:t>72/2025/QH15</w:t>
            </w:r>
            <w:r w:rsidRPr="002912AA">
              <w:rPr>
                <w:rFonts w:ascii="Times New Roman" w:hAnsi="Times New Roman"/>
                <w:color w:val="000000" w:themeColor="text1"/>
                <w:lang w:val="vi-VN"/>
              </w:rPr>
              <w:t>;</w:t>
            </w:r>
          </w:p>
          <w:p w:rsidR="000A7391" w:rsidRDefault="000A7391" w:rsidP="00632607">
            <w:pPr>
              <w:widowControl w:val="0"/>
              <w:spacing w:before="120" w:line="288" w:lineRule="auto"/>
              <w:ind w:right="77"/>
              <w:jc w:val="both"/>
              <w:rPr>
                <w:rFonts w:ascii="Times New Roman" w:hAnsi="Times New Roman"/>
                <w:color w:val="000000" w:themeColor="text1"/>
              </w:rPr>
            </w:pPr>
          </w:p>
          <w:p w:rsidR="000A7391" w:rsidRPr="000A7391" w:rsidRDefault="000A7391" w:rsidP="00632607">
            <w:pPr>
              <w:widowControl w:val="0"/>
              <w:spacing w:before="120" w:line="288" w:lineRule="auto"/>
              <w:ind w:right="77"/>
              <w:jc w:val="both"/>
              <w:rPr>
                <w:rFonts w:ascii="Times New Roman" w:hAnsi="Times New Roman"/>
                <w:color w:val="000000" w:themeColor="text1"/>
              </w:rPr>
            </w:pPr>
          </w:p>
          <w:p w:rsidR="00632607" w:rsidRPr="002912AA" w:rsidRDefault="00632607" w:rsidP="00632607">
            <w:pPr>
              <w:widowControl w:val="0"/>
              <w:spacing w:before="120" w:line="288" w:lineRule="auto"/>
              <w:ind w:right="77"/>
              <w:jc w:val="both"/>
              <w:rPr>
                <w:rFonts w:ascii="Times New Roman" w:hAnsi="Times New Roman"/>
                <w:color w:val="000000" w:themeColor="text1"/>
              </w:rPr>
            </w:pPr>
          </w:p>
        </w:tc>
      </w:tr>
      <w:tr w:rsidR="002912AA" w:rsidRPr="002912AA" w:rsidTr="006E508D">
        <w:trPr>
          <w:trHeight w:val="269"/>
        </w:trPr>
        <w:tc>
          <w:tcPr>
            <w:tcW w:w="3378" w:type="dxa"/>
          </w:tcPr>
          <w:p w:rsidR="00A27943" w:rsidRPr="002912AA" w:rsidRDefault="00A27943" w:rsidP="00A27943">
            <w:pPr>
              <w:spacing w:after="120"/>
              <w:ind w:firstLine="30"/>
              <w:jc w:val="both"/>
              <w:rPr>
                <w:rFonts w:ascii="Times New Roman" w:hAnsi="Times New Roman"/>
                <w:bCs/>
                <w:color w:val="000000" w:themeColor="text1"/>
              </w:rPr>
            </w:pPr>
            <w:r w:rsidRPr="002912AA">
              <w:rPr>
                <w:rFonts w:ascii="Times New Roman" w:hAnsi="Times New Roman"/>
                <w:b/>
                <w:color w:val="000000" w:themeColor="text1"/>
              </w:rPr>
              <w:lastRenderedPageBreak/>
              <w:t>Điều 7</w:t>
            </w:r>
            <w:r w:rsidRPr="002912AA">
              <w:rPr>
                <w:rFonts w:ascii="Times New Roman" w:hAnsi="Times New Roman"/>
                <w:color w:val="000000" w:themeColor="text1"/>
              </w:rPr>
              <w:t xml:space="preserve">. </w:t>
            </w:r>
            <w:r w:rsidRPr="002912AA">
              <w:rPr>
                <w:rFonts w:ascii="Times New Roman" w:hAnsi="Times New Roman"/>
                <w:bCs/>
                <w:color w:val="000000" w:themeColor="text1"/>
              </w:rPr>
              <w:t>Trách nhiệm của Ủy ban nhân dân cấp huyện</w:t>
            </w:r>
          </w:p>
          <w:p w:rsidR="00877D6E" w:rsidRPr="002912AA" w:rsidRDefault="00877D6E" w:rsidP="00877D6E">
            <w:pPr>
              <w:jc w:val="both"/>
              <w:rPr>
                <w:rFonts w:ascii="Times New Roman" w:hAnsi="Times New Roman"/>
                <w:color w:val="000000" w:themeColor="text1"/>
              </w:rPr>
            </w:pPr>
          </w:p>
        </w:tc>
        <w:tc>
          <w:tcPr>
            <w:tcW w:w="3518" w:type="dxa"/>
          </w:tcPr>
          <w:p w:rsidR="00877D6E" w:rsidRPr="002912AA" w:rsidRDefault="00A27943" w:rsidP="006702FF">
            <w:pPr>
              <w:spacing w:after="120"/>
              <w:ind w:firstLine="30"/>
              <w:jc w:val="both"/>
              <w:rPr>
                <w:rFonts w:ascii="Times New Roman" w:hAnsi="Times New Roman"/>
                <w:bCs/>
                <w:color w:val="000000" w:themeColor="text1"/>
              </w:rPr>
            </w:pPr>
            <w:r w:rsidRPr="002912AA">
              <w:rPr>
                <w:rFonts w:ascii="Times New Roman" w:hAnsi="Times New Roman"/>
                <w:b/>
                <w:bCs/>
                <w:color w:val="000000" w:themeColor="text1"/>
              </w:rPr>
              <w:t>Điều 7</w:t>
            </w:r>
            <w:r w:rsidRPr="002912AA">
              <w:rPr>
                <w:rFonts w:ascii="Times New Roman" w:hAnsi="Times New Roman"/>
                <w:bCs/>
                <w:color w:val="000000" w:themeColor="text1"/>
              </w:rPr>
              <w:t xml:space="preserve">. </w:t>
            </w:r>
            <w:r w:rsidR="006702FF" w:rsidRPr="002912AA">
              <w:rPr>
                <w:rFonts w:ascii="Times New Roman" w:hAnsi="Times New Roman"/>
                <w:bCs/>
                <w:color w:val="000000" w:themeColor="text1"/>
              </w:rPr>
              <w:t>Trách nhiệm của Ủy ban nhân dân</w:t>
            </w:r>
            <w:r w:rsidR="000B24D7" w:rsidRPr="002912AA">
              <w:rPr>
                <w:rFonts w:ascii="Times New Roman" w:hAnsi="Times New Roman"/>
                <w:bCs/>
                <w:color w:val="000000" w:themeColor="text1"/>
              </w:rPr>
              <w:t xml:space="preserve"> cấp xã, phường</w:t>
            </w:r>
          </w:p>
        </w:tc>
        <w:tc>
          <w:tcPr>
            <w:tcW w:w="3518" w:type="dxa"/>
          </w:tcPr>
          <w:p w:rsidR="00877D6E" w:rsidRPr="004E594F" w:rsidRDefault="00A27943" w:rsidP="00A27943">
            <w:pPr>
              <w:spacing w:before="120" w:line="288" w:lineRule="auto"/>
              <w:jc w:val="both"/>
              <w:rPr>
                <w:rFonts w:ascii="Times New Roman" w:hAnsi="Times New Roman"/>
                <w:iCs/>
                <w:color w:val="000000" w:themeColor="text1"/>
              </w:rPr>
            </w:pPr>
            <w:r w:rsidRPr="002912AA">
              <w:rPr>
                <w:rFonts w:ascii="Times New Roman" w:hAnsi="Times New Roman"/>
                <w:color w:val="000000" w:themeColor="text1"/>
                <w:lang w:val="vi-VN"/>
              </w:rPr>
              <w:t xml:space="preserve">Căn cứ Luật Tổ chức chính quyền địa phương </w:t>
            </w:r>
            <w:r w:rsidRPr="002912AA">
              <w:rPr>
                <w:rFonts w:ascii="Times New Roman" w:hAnsi="Times New Roman"/>
                <w:color w:val="000000" w:themeColor="text1"/>
              </w:rPr>
              <w:t>số 72/2025/QH15</w:t>
            </w:r>
            <w:r w:rsidRPr="002912AA">
              <w:rPr>
                <w:rFonts w:ascii="Times New Roman" w:hAnsi="Times New Roman"/>
                <w:color w:val="000000" w:themeColor="text1"/>
                <w:lang w:val="vi-VN"/>
              </w:rPr>
              <w:t>;</w:t>
            </w:r>
            <w:r w:rsidRPr="002912AA">
              <w:rPr>
                <w:rFonts w:ascii="Times New Roman" w:hAnsi="Times New Roman"/>
                <w:iCs/>
                <w:color w:val="000000" w:themeColor="text1"/>
              </w:rPr>
              <w:t xml:space="preserve"> Luật Ban hành văn bản quy phạm pháp luật số 64/2025/QH15 được sửa đổi, bổ sung bởi Luật số 87/2025/QH15. Căn cứ luật tổ chức chính quyền địa phương không có cấp huyện</w:t>
            </w:r>
          </w:p>
        </w:tc>
      </w:tr>
    </w:tbl>
    <w:tbl>
      <w:tblPr>
        <w:tblW w:w="9322" w:type="dxa"/>
        <w:tblCellMar>
          <w:left w:w="0" w:type="dxa"/>
          <w:right w:w="0" w:type="dxa"/>
        </w:tblCellMar>
        <w:tblLook w:val="0000" w:firstRow="0" w:lastRow="0" w:firstColumn="0" w:lastColumn="0" w:noHBand="0" w:noVBand="0"/>
      </w:tblPr>
      <w:tblGrid>
        <w:gridCol w:w="4705"/>
        <w:gridCol w:w="4617"/>
      </w:tblGrid>
      <w:tr w:rsidR="00974059" w:rsidRPr="002912AA" w:rsidTr="00653C12">
        <w:trPr>
          <w:trHeight w:val="80"/>
        </w:trPr>
        <w:tc>
          <w:tcPr>
            <w:tcW w:w="4705" w:type="dxa"/>
            <w:tcMar>
              <w:top w:w="0" w:type="dxa"/>
              <w:left w:w="108" w:type="dxa"/>
              <w:bottom w:w="0" w:type="dxa"/>
              <w:right w:w="108" w:type="dxa"/>
            </w:tcMar>
          </w:tcPr>
          <w:p w:rsidR="00974059" w:rsidRPr="002912AA" w:rsidRDefault="00974059" w:rsidP="006702FF">
            <w:pPr>
              <w:rPr>
                <w:rFonts w:ascii="Times New Roman" w:hAnsi="Times New Roman"/>
                <w:color w:val="000000" w:themeColor="text1"/>
                <w:sz w:val="22"/>
                <w:szCs w:val="22"/>
              </w:rPr>
            </w:pPr>
          </w:p>
          <w:p w:rsidR="00974059" w:rsidRPr="002912AA" w:rsidRDefault="00974059" w:rsidP="00653C12">
            <w:pPr>
              <w:rPr>
                <w:rFonts w:ascii="Times New Roman" w:hAnsi="Times New Roman"/>
                <w:color w:val="000000" w:themeColor="text1"/>
                <w:sz w:val="24"/>
                <w:szCs w:val="24"/>
              </w:rPr>
            </w:pPr>
          </w:p>
          <w:p w:rsidR="00974059" w:rsidRPr="002912AA" w:rsidRDefault="00974059" w:rsidP="00653C12">
            <w:pPr>
              <w:rPr>
                <w:rFonts w:ascii="Times New Roman" w:hAnsi="Times New Roman"/>
                <w:color w:val="000000" w:themeColor="text1"/>
                <w:sz w:val="24"/>
                <w:szCs w:val="24"/>
              </w:rPr>
            </w:pPr>
          </w:p>
          <w:p w:rsidR="00974059" w:rsidRPr="002912AA" w:rsidRDefault="00974059" w:rsidP="00653C12">
            <w:pPr>
              <w:rPr>
                <w:rFonts w:ascii="Times New Roman" w:hAnsi="Times New Roman"/>
                <w:color w:val="000000" w:themeColor="text1"/>
              </w:rPr>
            </w:pPr>
          </w:p>
        </w:tc>
        <w:tc>
          <w:tcPr>
            <w:tcW w:w="4617" w:type="dxa"/>
            <w:tcMar>
              <w:top w:w="0" w:type="dxa"/>
              <w:left w:w="108" w:type="dxa"/>
              <w:bottom w:w="0" w:type="dxa"/>
              <w:right w:w="108" w:type="dxa"/>
            </w:tcMar>
          </w:tcPr>
          <w:p w:rsidR="00974059" w:rsidRPr="002912AA" w:rsidRDefault="00974059" w:rsidP="00653C12">
            <w:pPr>
              <w:jc w:val="center"/>
              <w:rPr>
                <w:rFonts w:ascii="Times New Roman" w:hAnsi="Times New Roman"/>
                <w:b/>
                <w:color w:val="000000" w:themeColor="text1"/>
              </w:rPr>
            </w:pPr>
          </w:p>
          <w:p w:rsidR="00F46A75" w:rsidRPr="002912AA" w:rsidRDefault="00F46A75" w:rsidP="00B14CAA">
            <w:pPr>
              <w:spacing w:line="264" w:lineRule="auto"/>
              <w:rPr>
                <w:rFonts w:ascii="Times New Roman" w:hAnsi="Times New Roman"/>
                <w:b/>
                <w:color w:val="000000" w:themeColor="text1"/>
                <w:lang w:val="vi-VN"/>
              </w:rPr>
            </w:pPr>
          </w:p>
          <w:p w:rsidR="000D1D39" w:rsidRPr="002912AA" w:rsidRDefault="000D1D39" w:rsidP="00B14CAA">
            <w:pPr>
              <w:spacing w:line="264" w:lineRule="auto"/>
              <w:rPr>
                <w:rFonts w:ascii="Times New Roman" w:hAnsi="Times New Roman"/>
                <w:b/>
                <w:color w:val="000000" w:themeColor="text1"/>
                <w:lang w:val="vi-VN"/>
              </w:rPr>
            </w:pPr>
          </w:p>
          <w:p w:rsidR="00974059" w:rsidRPr="002912AA" w:rsidRDefault="00974059" w:rsidP="00653C12">
            <w:pPr>
              <w:jc w:val="center"/>
              <w:rPr>
                <w:rFonts w:ascii="Times New Roman" w:hAnsi="Times New Roman"/>
                <w:b/>
                <w:color w:val="000000" w:themeColor="text1"/>
              </w:rPr>
            </w:pPr>
          </w:p>
          <w:p w:rsidR="00974059" w:rsidRPr="002912AA" w:rsidRDefault="00974059" w:rsidP="009D4903">
            <w:pPr>
              <w:spacing w:before="200"/>
              <w:jc w:val="center"/>
              <w:rPr>
                <w:rFonts w:ascii="Times New Roman" w:hAnsi="Times New Roman"/>
                <w:b/>
                <w:color w:val="000000" w:themeColor="text1"/>
                <w:lang w:val="vi-VN"/>
              </w:rPr>
            </w:pPr>
          </w:p>
        </w:tc>
      </w:tr>
    </w:tbl>
    <w:p w:rsidR="00B41410" w:rsidRPr="002912AA" w:rsidRDefault="00B41410">
      <w:pPr>
        <w:rPr>
          <w:color w:val="000000" w:themeColor="text1"/>
        </w:rPr>
      </w:pPr>
    </w:p>
    <w:sectPr w:rsidR="00B41410" w:rsidRPr="002912AA" w:rsidSect="000D1D39">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AB5" w:rsidRDefault="00962AB5" w:rsidP="001D0151">
      <w:r>
        <w:separator/>
      </w:r>
    </w:p>
  </w:endnote>
  <w:endnote w:type="continuationSeparator" w:id="0">
    <w:p w:rsidR="00962AB5" w:rsidRDefault="00962AB5" w:rsidP="001D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AB5" w:rsidRDefault="00962AB5" w:rsidP="001D0151">
      <w:r>
        <w:separator/>
      </w:r>
    </w:p>
  </w:footnote>
  <w:footnote w:type="continuationSeparator" w:id="0">
    <w:p w:rsidR="00962AB5" w:rsidRDefault="00962AB5" w:rsidP="001D0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305571"/>
      <w:docPartObj>
        <w:docPartGallery w:val="Page Numbers (Top of Page)"/>
        <w:docPartUnique/>
      </w:docPartObj>
    </w:sdtPr>
    <w:sdtEndPr>
      <w:rPr>
        <w:noProof/>
      </w:rPr>
    </w:sdtEndPr>
    <w:sdtContent>
      <w:p w:rsidR="00AB1EDE" w:rsidRDefault="00AB1EDE">
        <w:pPr>
          <w:pStyle w:val="Header"/>
          <w:jc w:val="center"/>
        </w:pPr>
        <w:r>
          <w:fldChar w:fldCharType="begin"/>
        </w:r>
        <w:r>
          <w:instrText xml:space="preserve"> PAGE   \* MERGEFORMAT </w:instrText>
        </w:r>
        <w:r>
          <w:fldChar w:fldCharType="separate"/>
        </w:r>
        <w:r w:rsidR="00D4393C">
          <w:rPr>
            <w:noProof/>
          </w:rPr>
          <w:t>2</w:t>
        </w:r>
        <w:r>
          <w:rPr>
            <w:noProof/>
          </w:rPr>
          <w:fldChar w:fldCharType="end"/>
        </w:r>
      </w:p>
    </w:sdtContent>
  </w:sdt>
  <w:p w:rsidR="001D0151" w:rsidRDefault="001D01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919D5"/>
    <w:multiLevelType w:val="hybridMultilevel"/>
    <w:tmpl w:val="B5C0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34DD1"/>
    <w:multiLevelType w:val="hybridMultilevel"/>
    <w:tmpl w:val="0B54EBEC"/>
    <w:lvl w:ilvl="0" w:tplc="17D6B5C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E57B37"/>
    <w:multiLevelType w:val="hybridMultilevel"/>
    <w:tmpl w:val="0A84DCF8"/>
    <w:lvl w:ilvl="0" w:tplc="8B6AF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68"/>
    <w:rsid w:val="00001FE1"/>
    <w:rsid w:val="0003205A"/>
    <w:rsid w:val="00045C18"/>
    <w:rsid w:val="000578F3"/>
    <w:rsid w:val="00060C29"/>
    <w:rsid w:val="0006273B"/>
    <w:rsid w:val="000817D4"/>
    <w:rsid w:val="000846E0"/>
    <w:rsid w:val="000A7391"/>
    <w:rsid w:val="000A7FCB"/>
    <w:rsid w:val="000B24D7"/>
    <w:rsid w:val="000D1D39"/>
    <w:rsid w:val="000E11E5"/>
    <w:rsid w:val="000F0591"/>
    <w:rsid w:val="00102AD5"/>
    <w:rsid w:val="00121868"/>
    <w:rsid w:val="00122104"/>
    <w:rsid w:val="0012397D"/>
    <w:rsid w:val="00126B5A"/>
    <w:rsid w:val="00162D60"/>
    <w:rsid w:val="001A6866"/>
    <w:rsid w:val="001C7425"/>
    <w:rsid w:val="001D0151"/>
    <w:rsid w:val="001F749C"/>
    <w:rsid w:val="002024A2"/>
    <w:rsid w:val="002201CA"/>
    <w:rsid w:val="002315CF"/>
    <w:rsid w:val="0026700D"/>
    <w:rsid w:val="00270A87"/>
    <w:rsid w:val="002912AA"/>
    <w:rsid w:val="002C0501"/>
    <w:rsid w:val="002C610B"/>
    <w:rsid w:val="003008A1"/>
    <w:rsid w:val="003127A5"/>
    <w:rsid w:val="00336109"/>
    <w:rsid w:val="0034330E"/>
    <w:rsid w:val="00343CA4"/>
    <w:rsid w:val="00352ED0"/>
    <w:rsid w:val="00365913"/>
    <w:rsid w:val="00387A47"/>
    <w:rsid w:val="003919B3"/>
    <w:rsid w:val="003A41DB"/>
    <w:rsid w:val="003D3102"/>
    <w:rsid w:val="003E4A49"/>
    <w:rsid w:val="00403E9B"/>
    <w:rsid w:val="00404237"/>
    <w:rsid w:val="00406AED"/>
    <w:rsid w:val="00434505"/>
    <w:rsid w:val="004366E4"/>
    <w:rsid w:val="004378AA"/>
    <w:rsid w:val="00453D8C"/>
    <w:rsid w:val="00461445"/>
    <w:rsid w:val="004725C5"/>
    <w:rsid w:val="00472750"/>
    <w:rsid w:val="00492B26"/>
    <w:rsid w:val="004B1E60"/>
    <w:rsid w:val="004E594F"/>
    <w:rsid w:val="0050686D"/>
    <w:rsid w:val="0051753E"/>
    <w:rsid w:val="005258CE"/>
    <w:rsid w:val="005528CD"/>
    <w:rsid w:val="005620E4"/>
    <w:rsid w:val="0056210B"/>
    <w:rsid w:val="005A7C71"/>
    <w:rsid w:val="005C25F2"/>
    <w:rsid w:val="005E584E"/>
    <w:rsid w:val="005F3339"/>
    <w:rsid w:val="00613761"/>
    <w:rsid w:val="00616220"/>
    <w:rsid w:val="00632607"/>
    <w:rsid w:val="00636AD4"/>
    <w:rsid w:val="00643926"/>
    <w:rsid w:val="00644D31"/>
    <w:rsid w:val="0067018D"/>
    <w:rsid w:val="006702FF"/>
    <w:rsid w:val="00682EEE"/>
    <w:rsid w:val="006C2845"/>
    <w:rsid w:val="006E2428"/>
    <w:rsid w:val="006E508D"/>
    <w:rsid w:val="007457C3"/>
    <w:rsid w:val="007528E5"/>
    <w:rsid w:val="0076406E"/>
    <w:rsid w:val="007646BD"/>
    <w:rsid w:val="0079146C"/>
    <w:rsid w:val="007A5D1C"/>
    <w:rsid w:val="007D7A74"/>
    <w:rsid w:val="007F199B"/>
    <w:rsid w:val="00801BB1"/>
    <w:rsid w:val="00811B09"/>
    <w:rsid w:val="00824F49"/>
    <w:rsid w:val="008333F8"/>
    <w:rsid w:val="008504E8"/>
    <w:rsid w:val="0085164A"/>
    <w:rsid w:val="00860DFD"/>
    <w:rsid w:val="008655F9"/>
    <w:rsid w:val="00877D6E"/>
    <w:rsid w:val="00894642"/>
    <w:rsid w:val="008A69D3"/>
    <w:rsid w:val="008C27D0"/>
    <w:rsid w:val="008D31D0"/>
    <w:rsid w:val="008D7DA5"/>
    <w:rsid w:val="008F21E4"/>
    <w:rsid w:val="008F4046"/>
    <w:rsid w:val="009002D0"/>
    <w:rsid w:val="00930933"/>
    <w:rsid w:val="00935674"/>
    <w:rsid w:val="00962AB5"/>
    <w:rsid w:val="00974059"/>
    <w:rsid w:val="00991C20"/>
    <w:rsid w:val="009C78F6"/>
    <w:rsid w:val="009D4903"/>
    <w:rsid w:val="009E4921"/>
    <w:rsid w:val="00A042CA"/>
    <w:rsid w:val="00A15E2B"/>
    <w:rsid w:val="00A27943"/>
    <w:rsid w:val="00A27A9A"/>
    <w:rsid w:val="00A32334"/>
    <w:rsid w:val="00AA4187"/>
    <w:rsid w:val="00AB1EDE"/>
    <w:rsid w:val="00AD3FAF"/>
    <w:rsid w:val="00AD78C2"/>
    <w:rsid w:val="00B14CAA"/>
    <w:rsid w:val="00B216A1"/>
    <w:rsid w:val="00B35225"/>
    <w:rsid w:val="00B41410"/>
    <w:rsid w:val="00B64252"/>
    <w:rsid w:val="00B71003"/>
    <w:rsid w:val="00B75D64"/>
    <w:rsid w:val="00B77A4E"/>
    <w:rsid w:val="00B81B44"/>
    <w:rsid w:val="00B92094"/>
    <w:rsid w:val="00BA7D46"/>
    <w:rsid w:val="00BB4167"/>
    <w:rsid w:val="00BB6C4D"/>
    <w:rsid w:val="00BB78E7"/>
    <w:rsid w:val="00BD5215"/>
    <w:rsid w:val="00BD7983"/>
    <w:rsid w:val="00C145B8"/>
    <w:rsid w:val="00C20EC9"/>
    <w:rsid w:val="00C42328"/>
    <w:rsid w:val="00C44735"/>
    <w:rsid w:val="00C76A29"/>
    <w:rsid w:val="00C84327"/>
    <w:rsid w:val="00C91E00"/>
    <w:rsid w:val="00CA4674"/>
    <w:rsid w:val="00CD675A"/>
    <w:rsid w:val="00CE0993"/>
    <w:rsid w:val="00CF05EF"/>
    <w:rsid w:val="00D060B6"/>
    <w:rsid w:val="00D4393C"/>
    <w:rsid w:val="00D67018"/>
    <w:rsid w:val="00D721E8"/>
    <w:rsid w:val="00D77067"/>
    <w:rsid w:val="00D805B9"/>
    <w:rsid w:val="00DA1C98"/>
    <w:rsid w:val="00DB3E9D"/>
    <w:rsid w:val="00DD2E89"/>
    <w:rsid w:val="00DD48FD"/>
    <w:rsid w:val="00DE4C41"/>
    <w:rsid w:val="00E104DD"/>
    <w:rsid w:val="00E134D5"/>
    <w:rsid w:val="00E6418D"/>
    <w:rsid w:val="00E91EA0"/>
    <w:rsid w:val="00E927F7"/>
    <w:rsid w:val="00EC1492"/>
    <w:rsid w:val="00ED649F"/>
    <w:rsid w:val="00EF736B"/>
    <w:rsid w:val="00F333EB"/>
    <w:rsid w:val="00F46A75"/>
    <w:rsid w:val="00F822E3"/>
    <w:rsid w:val="00FB68EB"/>
    <w:rsid w:val="00FC4097"/>
    <w:rsid w:val="00FE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DB84"/>
  <w15:docId w15:val="{AFB24FA8-93F9-4759-B8BA-7A6EB13F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86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91EA0"/>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1D0151"/>
    <w:pPr>
      <w:tabs>
        <w:tab w:val="center" w:pos="4680"/>
        <w:tab w:val="right" w:pos="9360"/>
      </w:tabs>
    </w:pPr>
  </w:style>
  <w:style w:type="character" w:customStyle="1" w:styleId="HeaderChar">
    <w:name w:val="Header Char"/>
    <w:basedOn w:val="DefaultParagraphFont"/>
    <w:link w:val="Header"/>
    <w:uiPriority w:val="99"/>
    <w:rsid w:val="001D0151"/>
    <w:rPr>
      <w:rFonts w:ascii=".VnTime" w:eastAsia="Times New Roman" w:hAnsi=".VnTime" w:cs="Times New Roman"/>
      <w:szCs w:val="28"/>
    </w:rPr>
  </w:style>
  <w:style w:type="paragraph" w:styleId="Footer">
    <w:name w:val="footer"/>
    <w:basedOn w:val="Normal"/>
    <w:link w:val="FooterChar"/>
    <w:uiPriority w:val="99"/>
    <w:unhideWhenUsed/>
    <w:rsid w:val="001D0151"/>
    <w:pPr>
      <w:tabs>
        <w:tab w:val="center" w:pos="4680"/>
        <w:tab w:val="right" w:pos="9360"/>
      </w:tabs>
    </w:pPr>
  </w:style>
  <w:style w:type="character" w:customStyle="1" w:styleId="FooterChar">
    <w:name w:val="Footer Char"/>
    <w:basedOn w:val="DefaultParagraphFont"/>
    <w:link w:val="Footer"/>
    <w:uiPriority w:val="99"/>
    <w:rsid w:val="001D0151"/>
    <w:rPr>
      <w:rFonts w:ascii=".VnTime" w:eastAsia="Times New Roman" w:hAnsi=".VnTime" w:cs="Times New Roman"/>
      <w:szCs w:val="28"/>
    </w:rPr>
  </w:style>
  <w:style w:type="paragraph" w:styleId="ListParagraph">
    <w:name w:val="List Paragraph"/>
    <w:basedOn w:val="Normal"/>
    <w:uiPriority w:val="34"/>
    <w:qFormat/>
    <w:rsid w:val="00B216A1"/>
    <w:pPr>
      <w:ind w:left="720"/>
      <w:contextualSpacing/>
    </w:pPr>
  </w:style>
  <w:style w:type="table" w:styleId="TableGrid">
    <w:name w:val="Table Grid"/>
    <w:basedOn w:val="TableNormal"/>
    <w:uiPriority w:val="59"/>
    <w:rsid w:val="00B2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137</cp:revision>
  <dcterms:created xsi:type="dcterms:W3CDTF">2023-02-09T09:35:00Z</dcterms:created>
  <dcterms:modified xsi:type="dcterms:W3CDTF">2025-12-10T00:57:00Z</dcterms:modified>
</cp:coreProperties>
</file>